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3FDCA2B">
      <w:pPr>
        <w:spacing w:line="480" w:lineRule="exact"/>
        <w:rPr>
          <w:rFonts w:hint="eastAsia" w:ascii="华文中宋" w:hAnsi="华文中宋" w:eastAsia="华文中宋"/>
          <w:sz w:val="44"/>
          <w:szCs w:val="44"/>
        </w:rPr>
      </w:pPr>
      <w:bookmarkStart w:id="1" w:name="_GoBack"/>
      <w:bookmarkEnd w:id="1"/>
      <w:r>
        <w:rPr>
          <w:rFonts w:hint="eastAsia" w:ascii="黑体" w:eastAsia="黑体" w:cs="黑体"/>
          <w:kern w:val="0"/>
          <w:sz w:val="32"/>
          <w:szCs w:val="32"/>
        </w:rPr>
        <w:t>附件3：</w:t>
      </w:r>
    </w:p>
    <w:p w14:paraId="1EA1ADB8">
      <w:pPr>
        <w:spacing w:line="480" w:lineRule="exact"/>
        <w:jc w:val="center"/>
        <w:rPr>
          <w:rFonts w:hint="eastAsia" w:ascii="华文中宋" w:hAnsi="华文中宋" w:eastAsia="华文中宋"/>
          <w:sz w:val="44"/>
          <w:szCs w:val="44"/>
        </w:rPr>
      </w:pPr>
    </w:p>
    <w:p w14:paraId="3B55ED97">
      <w:pPr>
        <w:spacing w:line="480" w:lineRule="exact"/>
        <w:jc w:val="center"/>
        <w:rPr>
          <w:rFonts w:hint="eastAsia" w:ascii="华文中宋" w:hAnsi="华文中宋" w:eastAsia="华文中宋"/>
          <w:sz w:val="32"/>
          <w:szCs w:val="32"/>
        </w:rPr>
      </w:pPr>
      <w:r>
        <w:rPr>
          <w:rFonts w:hint="eastAsia" w:ascii="华文中宋" w:hAnsi="华文中宋" w:eastAsia="华文中宋"/>
          <w:sz w:val="44"/>
          <w:szCs w:val="44"/>
        </w:rPr>
        <w:t>征地补偿安置方案</w:t>
      </w:r>
    </w:p>
    <w:p w14:paraId="2848589D">
      <w:pPr>
        <w:spacing w:line="500" w:lineRule="exact"/>
        <w:jc w:val="center"/>
        <w:rPr>
          <w:rFonts w:hint="eastAsia" w:ascii="仿宋_GB2312" w:eastAsia="仿宋_GB2312"/>
          <w:sz w:val="32"/>
          <w:szCs w:val="32"/>
        </w:rPr>
      </w:pPr>
    </w:p>
    <w:p w14:paraId="65BD57A9">
      <w:pPr>
        <w:keepNext w:val="0"/>
        <w:keepLines w:val="0"/>
        <w:pageBreakBefore w:val="0"/>
        <w:widowControl w:val="0"/>
        <w:kinsoku/>
        <w:wordWrap/>
        <w:overflowPunct/>
        <w:topLinePunct w:val="0"/>
        <w:autoSpaceDE w:val="0"/>
        <w:autoSpaceDN w:val="0"/>
        <w:bidi w:val="0"/>
        <w:adjustRightInd w:val="0"/>
        <w:snapToGrid/>
        <w:ind w:firstLine="640" w:firstLineChars="200"/>
        <w:jc w:val="both"/>
        <w:textAlignment w:val="auto"/>
        <w:rPr>
          <w:rFonts w:hint="eastAsia" w:ascii="仿宋_GB2312" w:eastAsia="仿宋_GB2312" w:cs="仿宋_GB2312"/>
          <w:kern w:val="0"/>
          <w:sz w:val="32"/>
          <w:szCs w:val="32"/>
        </w:rPr>
      </w:pPr>
      <w:bookmarkStart w:id="0" w:name="OLE_LINK1"/>
      <w:r>
        <w:rPr>
          <w:rFonts w:hint="eastAsia" w:ascii="仿宋_GB2312" w:eastAsia="仿宋_GB2312" w:cs="仿宋_GB2312"/>
          <w:kern w:val="0"/>
          <w:sz w:val="32"/>
          <w:szCs w:val="32"/>
        </w:rPr>
        <w:t>根据</w:t>
      </w:r>
      <w:r>
        <w:rPr>
          <w:rFonts w:hint="eastAsia" w:ascii="仿宋_GB2312" w:hAnsi="宋体" w:eastAsia="仿宋_GB2312"/>
          <w:sz w:val="32"/>
          <w:szCs w:val="32"/>
        </w:rPr>
        <w:t>《征收土地预公告》</w:t>
      </w:r>
      <w:r>
        <w:rPr>
          <w:rFonts w:hint="eastAsia" w:ascii="仿宋_GB2312" w:hAnsi="宋体" w:eastAsia="仿宋_GB2312"/>
          <w:sz w:val="32"/>
          <w:szCs w:val="32"/>
          <w:lang w:eastAsia="zh-CN"/>
        </w:rPr>
        <w:t>（</w:t>
      </w:r>
      <w:r>
        <w:rPr>
          <w:rFonts w:hint="eastAsia" w:ascii="仿宋_GB2312" w:hAnsi="宋体" w:eastAsia="仿宋_GB2312"/>
          <w:sz w:val="32"/>
          <w:szCs w:val="32"/>
        </w:rPr>
        <w:t>青土告字[2026]</w:t>
      </w:r>
      <w:r>
        <w:rPr>
          <w:rFonts w:hint="eastAsia" w:ascii="仿宋_GB2312" w:hAnsi="宋体" w:eastAsia="仿宋_GB2312"/>
          <w:sz w:val="32"/>
          <w:szCs w:val="32"/>
          <w:lang w:val="en-US" w:eastAsia="zh-CN"/>
        </w:rPr>
        <w:t>9-2</w:t>
      </w:r>
      <w:r>
        <w:rPr>
          <w:rFonts w:hint="eastAsia" w:ascii="仿宋_GB2312" w:hAnsi="宋体" w:eastAsia="仿宋_GB2312"/>
          <w:sz w:val="32"/>
          <w:szCs w:val="32"/>
        </w:rPr>
        <w:t>号</w:t>
      </w:r>
      <w:r>
        <w:rPr>
          <w:rFonts w:hint="eastAsia" w:ascii="仿宋_GB2312" w:hAnsi="宋体" w:eastAsia="仿宋_GB2312"/>
          <w:sz w:val="32"/>
          <w:szCs w:val="32"/>
          <w:lang w:eastAsia="zh-CN"/>
        </w:rPr>
        <w:t>）</w:t>
      </w:r>
      <w:r>
        <w:rPr>
          <w:rFonts w:hint="eastAsia" w:ascii="仿宋_GB2312" w:hAnsi="宋体" w:eastAsia="仿宋_GB2312"/>
          <w:sz w:val="32"/>
          <w:szCs w:val="32"/>
        </w:rPr>
        <w:t>，</w:t>
      </w:r>
      <w:r>
        <w:rPr>
          <w:rFonts w:hint="eastAsia" w:ascii="仿宋_GB2312" w:eastAsia="仿宋_GB2312" w:cs="仿宋_GB2312"/>
          <w:kern w:val="0"/>
          <w:sz w:val="32"/>
          <w:szCs w:val="32"/>
        </w:rPr>
        <w:t>征地范围内土地现状调查结果及土地征收社会稳定风险评估结果，我区组织自然资源和城乡建设、财政、农业农村、人力资源和社会保障等部门编制了《征地补偿安置方案》（以下简称《方案》），具体内容如下：</w:t>
      </w:r>
    </w:p>
    <w:p w14:paraId="75DFFE7B">
      <w:pPr>
        <w:keepNext w:val="0"/>
        <w:keepLines w:val="0"/>
        <w:pageBreakBefore w:val="0"/>
        <w:widowControl w:val="0"/>
        <w:kinsoku/>
        <w:wordWrap/>
        <w:overflowPunct/>
        <w:topLinePunct w:val="0"/>
        <w:autoSpaceDE w:val="0"/>
        <w:autoSpaceDN w:val="0"/>
        <w:bidi w:val="0"/>
        <w:adjustRightInd w:val="0"/>
        <w:snapToGrid/>
        <w:ind w:firstLine="800" w:firstLineChars="250"/>
        <w:jc w:val="both"/>
        <w:textAlignment w:val="auto"/>
        <w:rPr>
          <w:rFonts w:ascii="黑体" w:eastAsia="黑体" w:cs="黑体"/>
          <w:kern w:val="0"/>
          <w:sz w:val="32"/>
          <w:szCs w:val="32"/>
        </w:rPr>
      </w:pPr>
      <w:r>
        <w:rPr>
          <w:rFonts w:hint="eastAsia" w:ascii="黑体" w:eastAsia="黑体" w:cs="黑体"/>
          <w:kern w:val="0"/>
          <w:sz w:val="32"/>
          <w:szCs w:val="32"/>
        </w:rPr>
        <w:t>一、土地征收目的</w:t>
      </w:r>
    </w:p>
    <w:p w14:paraId="012CF484">
      <w:pPr>
        <w:keepNext w:val="0"/>
        <w:keepLines w:val="0"/>
        <w:pageBreakBefore w:val="0"/>
        <w:widowControl w:val="0"/>
        <w:kinsoku/>
        <w:wordWrap/>
        <w:overflowPunct/>
        <w:topLinePunct w:val="0"/>
        <w:autoSpaceDE w:val="0"/>
        <w:autoSpaceDN w:val="0"/>
        <w:bidi w:val="0"/>
        <w:adjustRightInd w:val="0"/>
        <w:snapToGrid/>
        <w:ind w:firstLine="640" w:firstLineChars="200"/>
        <w:jc w:val="both"/>
        <w:textAlignment w:val="auto"/>
        <w:rPr>
          <w:rFonts w:hint="eastAsia" w:ascii="仿宋_GB2312" w:eastAsia="仿宋_GB2312" w:cs="仿宋_GB2312"/>
          <w:kern w:val="0"/>
          <w:sz w:val="32"/>
          <w:szCs w:val="32"/>
        </w:rPr>
      </w:pPr>
      <w:r>
        <w:rPr>
          <w:rFonts w:hint="eastAsia" w:ascii="仿宋_GB2312" w:eastAsia="仿宋_GB2312" w:cs="仿宋_GB2312"/>
          <w:kern w:val="0"/>
          <w:sz w:val="32"/>
          <w:szCs w:val="32"/>
          <w:lang w:eastAsia="zh-CN"/>
        </w:rPr>
        <w:t>该</w:t>
      </w:r>
      <w:r>
        <w:rPr>
          <w:rFonts w:hint="eastAsia" w:ascii="仿宋_GB2312" w:eastAsia="仿宋_GB2312" w:cs="仿宋_GB2312"/>
          <w:kern w:val="0"/>
          <w:sz w:val="32"/>
          <w:szCs w:val="32"/>
        </w:rPr>
        <w:t>项目已纳入《</w:t>
      </w:r>
      <w:r>
        <w:rPr>
          <w:rFonts w:hint="eastAsia" w:ascii="仿宋_GB2312" w:eastAsia="仿宋_GB2312" w:cs="仿宋_GB2312"/>
          <w:kern w:val="0"/>
          <w:sz w:val="32"/>
          <w:szCs w:val="32"/>
          <w:lang w:val="en-US" w:eastAsia="zh-CN"/>
        </w:rPr>
        <w:t>市城建局 市发改委关于印发2020年市级城建项目安排的通知</w:t>
      </w:r>
      <w:r>
        <w:rPr>
          <w:rFonts w:hint="eastAsia" w:ascii="仿宋_GB2312" w:eastAsia="仿宋_GB2312" w:cs="仿宋_GB2312"/>
          <w:kern w:val="0"/>
          <w:sz w:val="32"/>
          <w:szCs w:val="32"/>
        </w:rPr>
        <w:t>》(</w:t>
      </w:r>
      <w:r>
        <w:rPr>
          <w:rFonts w:hint="eastAsia" w:ascii="仿宋_GB2312" w:eastAsia="仿宋_GB2312" w:cs="仿宋_GB2312"/>
          <w:kern w:val="0"/>
          <w:sz w:val="32"/>
          <w:szCs w:val="32"/>
          <w:lang w:val="en-US" w:eastAsia="zh-CN"/>
        </w:rPr>
        <w:t>武城建</w:t>
      </w:r>
      <w:r>
        <w:rPr>
          <w:rFonts w:hint="eastAsia" w:ascii="仿宋_GB2312" w:eastAsia="仿宋_GB2312" w:cs="仿宋_GB2312"/>
          <w:kern w:val="0"/>
          <w:sz w:val="32"/>
          <w:szCs w:val="32"/>
        </w:rPr>
        <w:t>〔</w:t>
      </w:r>
      <w:r>
        <w:rPr>
          <w:rFonts w:hint="eastAsia" w:ascii="仿宋_GB2312" w:eastAsia="仿宋_GB2312" w:cs="仿宋_GB2312"/>
          <w:kern w:val="0"/>
          <w:sz w:val="32"/>
          <w:szCs w:val="32"/>
          <w:lang w:val="en-US" w:eastAsia="zh-CN"/>
        </w:rPr>
        <w:t>2020</w:t>
      </w:r>
      <w:r>
        <w:rPr>
          <w:rFonts w:hint="eastAsia" w:ascii="仿宋_GB2312" w:eastAsia="仿宋_GB2312" w:cs="仿宋_GB2312"/>
          <w:kern w:val="0"/>
          <w:sz w:val="32"/>
          <w:szCs w:val="32"/>
        </w:rPr>
        <w:t>〕</w:t>
      </w:r>
      <w:r>
        <w:rPr>
          <w:rFonts w:hint="eastAsia" w:ascii="仿宋_GB2312" w:eastAsia="仿宋_GB2312" w:cs="仿宋_GB2312"/>
          <w:kern w:val="0"/>
          <w:sz w:val="32"/>
          <w:szCs w:val="32"/>
          <w:lang w:val="en-US" w:eastAsia="zh-CN"/>
        </w:rPr>
        <w:t>3号</w:t>
      </w:r>
      <w:r>
        <w:rPr>
          <w:rFonts w:hint="eastAsia" w:ascii="仿宋_GB2312" w:eastAsia="仿宋_GB2312" w:cs="仿宋_GB2312"/>
          <w:kern w:val="0"/>
          <w:sz w:val="32"/>
          <w:szCs w:val="32"/>
        </w:rPr>
        <w:t>),符合《土地管理法》第四十五条第(</w:t>
      </w:r>
      <w:r>
        <w:rPr>
          <w:rFonts w:hint="eastAsia" w:ascii="仿宋_GB2312" w:eastAsia="仿宋_GB2312" w:cs="仿宋_GB2312"/>
          <w:kern w:val="0"/>
          <w:sz w:val="32"/>
          <w:szCs w:val="32"/>
          <w:lang w:val="en-US" w:eastAsia="zh-CN"/>
        </w:rPr>
        <w:t>二</w:t>
      </w:r>
      <w:r>
        <w:rPr>
          <w:rFonts w:hint="eastAsia" w:ascii="仿宋_GB2312" w:eastAsia="仿宋_GB2312" w:cs="仿宋_GB2312"/>
          <w:kern w:val="0"/>
          <w:sz w:val="32"/>
          <w:szCs w:val="32"/>
        </w:rPr>
        <w:t>)项规定的公共利益情形</w:t>
      </w:r>
      <w:r>
        <w:rPr>
          <w:rFonts w:hint="eastAsia" w:ascii="仿宋_GB2312" w:eastAsia="仿宋_GB2312" w:cs="仿宋_GB2312"/>
          <w:kern w:val="0"/>
          <w:sz w:val="32"/>
          <w:szCs w:val="32"/>
          <w:lang w:eastAsia="zh-CN"/>
        </w:rPr>
        <w:t>，</w:t>
      </w:r>
      <w:r>
        <w:rPr>
          <w:rFonts w:hint="eastAsia" w:ascii="仿宋_GB2312" w:eastAsia="仿宋_GB2312" w:cs="仿宋_GB2312"/>
          <w:kern w:val="0"/>
          <w:sz w:val="32"/>
          <w:szCs w:val="32"/>
          <w:lang w:val="en-US" w:eastAsia="zh-CN"/>
        </w:rPr>
        <w:t>建设符合土地供应政策。</w:t>
      </w:r>
      <w:r>
        <w:rPr>
          <w:rFonts w:hint="eastAsia" w:ascii="仿宋_GB2312" w:eastAsia="仿宋_GB2312" w:cs="仿宋_GB2312"/>
          <w:kern w:val="0"/>
          <w:sz w:val="32"/>
          <w:szCs w:val="32"/>
        </w:rPr>
        <w:t>因</w:t>
      </w:r>
      <w:r>
        <w:rPr>
          <w:rFonts w:hint="eastAsia" w:ascii="仿宋_GB2312" w:eastAsia="仿宋_GB2312" w:cs="仿宋_GB2312"/>
          <w:kern w:val="0"/>
          <w:sz w:val="32"/>
          <w:szCs w:val="32"/>
          <w:lang w:val="en-US" w:eastAsia="zh-CN"/>
        </w:rPr>
        <w:t>项目为</w:t>
      </w:r>
      <w:r>
        <w:rPr>
          <w:rFonts w:hint="eastAsia" w:ascii="仿宋_GB2312" w:eastAsia="仿宋_GB2312" w:cs="仿宋_GB2312"/>
          <w:kern w:val="0"/>
          <w:sz w:val="32"/>
          <w:szCs w:val="32"/>
        </w:rPr>
        <w:t>公共利益需要，确需征收农民集体所有土地</w:t>
      </w:r>
      <w:r>
        <w:rPr>
          <w:rFonts w:hint="eastAsia" w:ascii="仿宋_GB2312" w:eastAsia="仿宋_GB2312" w:cs="仿宋_GB2312"/>
          <w:kern w:val="0"/>
          <w:sz w:val="32"/>
          <w:szCs w:val="32"/>
          <w:lang w:eastAsia="zh-CN"/>
        </w:rPr>
        <w:t>。</w:t>
      </w:r>
    </w:p>
    <w:p w14:paraId="13161744">
      <w:pPr>
        <w:keepNext w:val="0"/>
        <w:keepLines w:val="0"/>
        <w:pageBreakBefore w:val="0"/>
        <w:widowControl w:val="0"/>
        <w:kinsoku/>
        <w:wordWrap/>
        <w:overflowPunct/>
        <w:topLinePunct w:val="0"/>
        <w:autoSpaceDE w:val="0"/>
        <w:autoSpaceDN w:val="0"/>
        <w:bidi w:val="0"/>
        <w:adjustRightInd w:val="0"/>
        <w:snapToGrid/>
        <w:jc w:val="both"/>
        <w:textAlignment w:val="auto"/>
        <w:rPr>
          <w:rFonts w:ascii="黑体" w:eastAsia="黑体" w:cs="黑体"/>
          <w:kern w:val="0"/>
          <w:sz w:val="32"/>
          <w:szCs w:val="32"/>
        </w:rPr>
      </w:pPr>
      <w:r>
        <w:rPr>
          <w:rFonts w:hint="eastAsia" w:ascii="仿宋_GB2312" w:eastAsia="仿宋_GB2312" w:cs="仿宋_GB2312"/>
          <w:kern w:val="0"/>
          <w:sz w:val="32"/>
          <w:szCs w:val="32"/>
        </w:rPr>
        <w:t xml:space="preserve">     </w:t>
      </w:r>
      <w:r>
        <w:rPr>
          <w:rFonts w:hint="eastAsia" w:ascii="黑体" w:eastAsia="黑体" w:cs="黑体"/>
          <w:kern w:val="0"/>
          <w:sz w:val="32"/>
          <w:szCs w:val="32"/>
        </w:rPr>
        <w:t>二、土地征收位置、面积和范围</w:t>
      </w:r>
    </w:p>
    <w:p w14:paraId="32DA84C7">
      <w:pPr>
        <w:keepNext w:val="0"/>
        <w:keepLines w:val="0"/>
        <w:pageBreakBefore w:val="0"/>
        <w:widowControl w:val="0"/>
        <w:kinsoku/>
        <w:wordWrap/>
        <w:overflowPunct/>
        <w:topLinePunct w:val="0"/>
        <w:autoSpaceDE w:val="0"/>
        <w:autoSpaceDN w:val="0"/>
        <w:bidi w:val="0"/>
        <w:adjustRightInd w:val="0"/>
        <w:snapToGrid/>
        <w:ind w:firstLine="640" w:firstLineChars="200"/>
        <w:jc w:val="both"/>
        <w:textAlignment w:val="auto"/>
        <w:rPr>
          <w:rFonts w:hint="eastAsia" w:ascii="仿宋_GB2312" w:eastAsia="仿宋_GB2312" w:cs="仿宋_GB2312"/>
          <w:kern w:val="0"/>
          <w:sz w:val="32"/>
          <w:szCs w:val="32"/>
        </w:rPr>
      </w:pPr>
      <w:r>
        <w:rPr>
          <w:rFonts w:hint="eastAsia" w:ascii="仿宋_GB2312" w:eastAsia="仿宋_GB2312" w:cs="仿宋_GB2312"/>
          <w:kern w:val="0"/>
          <w:sz w:val="32"/>
          <w:szCs w:val="32"/>
        </w:rPr>
        <w:t>该项目建设用地征收涉及我区</w:t>
      </w:r>
      <w:r>
        <w:rPr>
          <w:rFonts w:hint="eastAsia" w:ascii="仿宋_GB2312" w:eastAsia="仿宋_GB2312" w:cs="仿宋_GB2312"/>
          <w:kern w:val="0"/>
          <w:sz w:val="32"/>
          <w:szCs w:val="32"/>
          <w:lang w:eastAsia="zh-CN"/>
        </w:rPr>
        <w:t>白玉山</w:t>
      </w:r>
      <w:r>
        <w:rPr>
          <w:rFonts w:hint="eastAsia" w:ascii="仿宋_GB2312" w:eastAsia="仿宋_GB2312" w:cs="仿宋_GB2312"/>
          <w:kern w:val="0"/>
          <w:sz w:val="32"/>
          <w:szCs w:val="32"/>
        </w:rPr>
        <w:t>街</w:t>
      </w:r>
      <w:r>
        <w:rPr>
          <w:rFonts w:hint="eastAsia" w:ascii="仿宋_GB2312" w:eastAsia="仿宋_GB2312" w:cs="仿宋_GB2312"/>
          <w:kern w:val="0"/>
          <w:sz w:val="32"/>
          <w:szCs w:val="32"/>
          <w:lang w:val="en-US" w:eastAsia="zh-CN"/>
        </w:rPr>
        <w:t>群力</w:t>
      </w:r>
      <w:r>
        <w:rPr>
          <w:rFonts w:hint="eastAsia" w:ascii="仿宋_GB2312" w:eastAsia="仿宋_GB2312" w:cs="仿宋_GB2312"/>
          <w:kern w:val="0"/>
          <w:sz w:val="32"/>
          <w:szCs w:val="32"/>
        </w:rPr>
        <w:t>村，拟用地</w:t>
      </w:r>
      <w:r>
        <w:rPr>
          <w:rFonts w:hint="eastAsia" w:ascii="仿宋_GB2312" w:eastAsia="仿宋_GB2312" w:cs="仿宋_GB2312"/>
          <w:kern w:val="0"/>
          <w:sz w:val="32"/>
          <w:szCs w:val="32"/>
          <w:highlight w:val="none"/>
        </w:rPr>
        <w:t>总面积</w:t>
      </w:r>
      <w:r>
        <w:rPr>
          <w:rFonts w:hint="eastAsia" w:ascii="仿宋_GB2312" w:eastAsia="仿宋_GB2312" w:cs="仿宋_GB2312"/>
          <w:kern w:val="0"/>
          <w:sz w:val="32"/>
          <w:szCs w:val="32"/>
          <w:highlight w:val="none"/>
          <w:lang w:val="en-US" w:eastAsia="zh-CN"/>
        </w:rPr>
        <w:t>3.8650</w:t>
      </w:r>
      <w:r>
        <w:rPr>
          <w:rFonts w:hint="eastAsia" w:ascii="仿宋_GB2312" w:eastAsia="仿宋_GB2312" w:cs="仿宋_GB2312"/>
          <w:kern w:val="0"/>
          <w:sz w:val="32"/>
          <w:szCs w:val="32"/>
          <w:highlight w:val="none"/>
        </w:rPr>
        <w:t>公顷</w:t>
      </w:r>
      <w:r>
        <w:rPr>
          <w:rFonts w:hint="eastAsia" w:ascii="仿宋_GB2312" w:eastAsia="仿宋_GB2312" w:cs="仿宋_GB2312"/>
          <w:kern w:val="0"/>
          <w:sz w:val="32"/>
          <w:szCs w:val="32"/>
        </w:rPr>
        <w:t>；按权属和地类分：均为农民集体所有。具体范围详见勘测定界图。</w:t>
      </w:r>
    </w:p>
    <w:p w14:paraId="58C81794">
      <w:pPr>
        <w:keepNext w:val="0"/>
        <w:keepLines w:val="0"/>
        <w:pageBreakBefore w:val="0"/>
        <w:widowControl w:val="0"/>
        <w:kinsoku/>
        <w:wordWrap/>
        <w:overflowPunct/>
        <w:topLinePunct w:val="0"/>
        <w:autoSpaceDE w:val="0"/>
        <w:autoSpaceDN w:val="0"/>
        <w:bidi w:val="0"/>
        <w:adjustRightInd w:val="0"/>
        <w:snapToGrid/>
        <w:ind w:firstLine="800" w:firstLineChars="250"/>
        <w:jc w:val="both"/>
        <w:textAlignment w:val="auto"/>
        <w:rPr>
          <w:rFonts w:ascii="黑体" w:eastAsia="黑体" w:cs="黑体"/>
          <w:kern w:val="0"/>
          <w:sz w:val="32"/>
          <w:szCs w:val="32"/>
        </w:rPr>
      </w:pPr>
      <w:r>
        <w:rPr>
          <w:rFonts w:hint="eastAsia" w:ascii="黑体" w:eastAsia="黑体" w:cs="黑体"/>
          <w:kern w:val="0"/>
          <w:sz w:val="32"/>
          <w:szCs w:val="32"/>
        </w:rPr>
        <w:t>三、土地现状调查结果</w:t>
      </w:r>
    </w:p>
    <w:p w14:paraId="24EA0295">
      <w:pPr>
        <w:keepNext w:val="0"/>
        <w:keepLines w:val="0"/>
        <w:pageBreakBefore w:val="0"/>
        <w:widowControl w:val="0"/>
        <w:kinsoku/>
        <w:wordWrap/>
        <w:overflowPunct/>
        <w:topLinePunct w:val="0"/>
        <w:autoSpaceDE w:val="0"/>
        <w:autoSpaceDN w:val="0"/>
        <w:bidi w:val="0"/>
        <w:adjustRightInd w:val="0"/>
        <w:snapToGrid/>
        <w:ind w:firstLine="640" w:firstLineChars="200"/>
        <w:jc w:val="both"/>
        <w:textAlignment w:val="auto"/>
        <w:rPr>
          <w:rFonts w:hint="eastAsia" w:ascii="仿宋_GB2312" w:eastAsia="仿宋_GB2312" w:cs="仿宋_GB2312"/>
          <w:kern w:val="0"/>
          <w:sz w:val="32"/>
          <w:szCs w:val="32"/>
        </w:rPr>
      </w:pPr>
      <w:r>
        <w:rPr>
          <w:rFonts w:hint="eastAsia" w:ascii="仿宋_GB2312" w:eastAsia="仿宋_GB2312" w:cs="仿宋_GB2312"/>
          <w:kern w:val="0"/>
          <w:sz w:val="32"/>
          <w:szCs w:val="32"/>
        </w:rPr>
        <w:t>拟征土地权属、面积、地类及农村村民住宅、其他地上附着物和青苗等的权属、种类、数量等详见《</w:t>
      </w:r>
      <w:r>
        <w:rPr>
          <w:rFonts w:hint="eastAsia" w:ascii="仿宋_GB2312" w:hAnsi="宋体" w:eastAsia="仿宋_GB2312"/>
          <w:sz w:val="32"/>
          <w:szCs w:val="32"/>
        </w:rPr>
        <w:t>拟征收</w:t>
      </w:r>
      <w:r>
        <w:rPr>
          <w:rFonts w:hint="eastAsia" w:ascii="仿宋_GB2312" w:eastAsia="仿宋_GB2312" w:cs="仿宋_GB2312"/>
          <w:kern w:val="0"/>
          <w:sz w:val="32"/>
          <w:szCs w:val="32"/>
        </w:rPr>
        <w:t>土地现状调查结果的确认表》。</w:t>
      </w:r>
    </w:p>
    <w:p w14:paraId="0AA22D29">
      <w:pPr>
        <w:keepNext w:val="0"/>
        <w:keepLines w:val="0"/>
        <w:pageBreakBefore w:val="0"/>
        <w:widowControl w:val="0"/>
        <w:kinsoku/>
        <w:wordWrap/>
        <w:overflowPunct/>
        <w:topLinePunct w:val="0"/>
        <w:autoSpaceDE w:val="0"/>
        <w:autoSpaceDN w:val="0"/>
        <w:bidi w:val="0"/>
        <w:adjustRightInd w:val="0"/>
        <w:snapToGrid/>
        <w:jc w:val="both"/>
        <w:textAlignment w:val="auto"/>
        <w:rPr>
          <w:rFonts w:ascii="黑体" w:eastAsia="黑体" w:cs="黑体"/>
          <w:kern w:val="0"/>
          <w:sz w:val="32"/>
          <w:szCs w:val="32"/>
        </w:rPr>
      </w:pPr>
      <w:r>
        <w:rPr>
          <w:rFonts w:hint="eastAsia" w:ascii="仿宋_GB2312" w:eastAsia="仿宋_GB2312" w:cs="仿宋_GB2312"/>
          <w:kern w:val="0"/>
          <w:sz w:val="32"/>
          <w:szCs w:val="32"/>
        </w:rPr>
        <w:t xml:space="preserve">    </w:t>
      </w:r>
      <w:r>
        <w:rPr>
          <w:rFonts w:hint="eastAsia" w:ascii="黑体" w:eastAsia="黑体" w:cs="黑体"/>
          <w:kern w:val="0"/>
          <w:sz w:val="32"/>
          <w:szCs w:val="32"/>
        </w:rPr>
        <w:t>四、土地征收补偿标准</w:t>
      </w:r>
    </w:p>
    <w:p w14:paraId="26D73B89">
      <w:pPr>
        <w:keepNext w:val="0"/>
        <w:keepLines w:val="0"/>
        <w:pageBreakBefore w:val="0"/>
        <w:widowControl w:val="0"/>
        <w:kinsoku/>
        <w:wordWrap/>
        <w:overflowPunct/>
        <w:topLinePunct w:val="0"/>
        <w:autoSpaceDE w:val="0"/>
        <w:autoSpaceDN w:val="0"/>
        <w:bidi w:val="0"/>
        <w:adjustRightInd w:val="0"/>
        <w:snapToGrid/>
        <w:ind w:firstLine="640" w:firstLineChars="200"/>
        <w:jc w:val="both"/>
        <w:textAlignment w:val="auto"/>
        <w:rPr>
          <w:rFonts w:hint="eastAsia" w:ascii="仿宋_GB2312" w:eastAsia="仿宋_GB2312" w:cs="仿宋_GB2312"/>
          <w:kern w:val="0"/>
          <w:sz w:val="32"/>
          <w:szCs w:val="32"/>
        </w:rPr>
      </w:pPr>
      <w:r>
        <w:rPr>
          <w:rFonts w:hint="eastAsia" w:ascii="仿宋_GB2312" w:eastAsia="仿宋_GB2312" w:cs="仿宋_GB2312"/>
          <w:kern w:val="0"/>
          <w:sz w:val="32"/>
          <w:szCs w:val="32"/>
        </w:rPr>
        <w:t>（一）土地补偿费和安置补助费补偿标准执行《省人民政府关于重新公布全省征地区片综合地价标准的通知》(鄂政发〔2023〕16号）和《市人民政府关于公布武汉市征收集体建设用地和未利用地补偿标准的通知》（武政规〔2024〕7号），拟征土地位于</w:t>
      </w:r>
      <w:r>
        <w:rPr>
          <w:rFonts w:hint="eastAsia" w:ascii="仿宋_GB2312" w:eastAsia="仿宋_GB2312" w:cs="仿宋_GB2312"/>
          <w:kern w:val="0"/>
          <w:sz w:val="32"/>
          <w:szCs w:val="32"/>
          <w:lang w:eastAsia="zh-CN"/>
        </w:rPr>
        <w:t>武汉市</w:t>
      </w:r>
      <w:r>
        <w:rPr>
          <w:rFonts w:hint="eastAsia" w:ascii="微软雅黑" w:hAnsi="微软雅黑" w:eastAsia="微软雅黑" w:cs="微软雅黑"/>
          <w:kern w:val="0"/>
          <w:sz w:val="32"/>
          <w:szCs w:val="32"/>
          <w:lang w:eastAsia="zh-CN"/>
        </w:rPr>
        <w:t>Ⅳ</w:t>
      </w:r>
      <w:r>
        <w:rPr>
          <w:rFonts w:hint="eastAsia" w:ascii="仿宋_GB2312" w:eastAsia="仿宋_GB2312" w:cs="仿宋_GB2312"/>
          <w:kern w:val="0"/>
          <w:sz w:val="32"/>
          <w:szCs w:val="32"/>
          <w:lang w:eastAsia="zh-CN"/>
        </w:rPr>
        <w:t>类</w:t>
      </w:r>
      <w:r>
        <w:rPr>
          <w:rFonts w:hint="eastAsia" w:ascii="仿宋_GB2312" w:eastAsia="仿宋_GB2312" w:cs="仿宋_GB2312"/>
          <w:kern w:val="0"/>
          <w:sz w:val="32"/>
          <w:szCs w:val="32"/>
          <w:lang w:val="en-US" w:eastAsia="zh-CN"/>
        </w:rPr>
        <w:t>1</w:t>
      </w:r>
      <w:r>
        <w:rPr>
          <w:rFonts w:hint="eastAsia" w:ascii="仿宋_GB2312" w:eastAsia="仿宋_GB2312" w:cs="仿宋_GB2312"/>
          <w:kern w:val="0"/>
          <w:sz w:val="32"/>
          <w:szCs w:val="32"/>
          <w:lang w:eastAsia="zh-CN"/>
        </w:rPr>
        <w:t>个征地</w:t>
      </w:r>
      <w:r>
        <w:rPr>
          <w:rFonts w:hint="eastAsia" w:ascii="仿宋_GB2312" w:eastAsia="仿宋_GB2312" w:cs="仿宋_GB2312"/>
          <w:kern w:val="0"/>
          <w:sz w:val="32"/>
          <w:szCs w:val="32"/>
        </w:rPr>
        <w:t>区片综合地价区域，标准为</w:t>
      </w:r>
      <w:r>
        <w:rPr>
          <w:rFonts w:hint="eastAsia" w:ascii="仿宋_GB2312" w:eastAsia="仿宋_GB2312" w:cs="仿宋_GB2312"/>
          <w:kern w:val="0"/>
          <w:sz w:val="32"/>
          <w:szCs w:val="32"/>
          <w:lang w:val="en-US" w:eastAsia="zh-CN"/>
        </w:rPr>
        <w:t>363</w:t>
      </w:r>
      <w:r>
        <w:rPr>
          <w:rFonts w:hint="eastAsia" w:ascii="仿宋_GB2312" w:eastAsia="仿宋_GB2312" w:cs="仿宋_GB2312"/>
          <w:kern w:val="0"/>
          <w:sz w:val="32"/>
          <w:szCs w:val="32"/>
        </w:rPr>
        <w:t>万元/公顷，土地补偿费按标准的40%计算，安置补助费按标准的60%计算。</w:t>
      </w:r>
    </w:p>
    <w:p w14:paraId="05D43E56">
      <w:pPr>
        <w:keepNext w:val="0"/>
        <w:keepLines w:val="0"/>
        <w:pageBreakBefore w:val="0"/>
        <w:widowControl w:val="0"/>
        <w:kinsoku/>
        <w:wordWrap/>
        <w:overflowPunct/>
        <w:topLinePunct w:val="0"/>
        <w:autoSpaceDE w:val="0"/>
        <w:autoSpaceDN w:val="0"/>
        <w:bidi w:val="0"/>
        <w:adjustRightInd w:val="0"/>
        <w:snapToGrid/>
        <w:ind w:firstLine="640" w:firstLineChars="200"/>
        <w:jc w:val="both"/>
        <w:textAlignment w:val="auto"/>
        <w:rPr>
          <w:rFonts w:ascii="仿宋_GB2312" w:eastAsia="仿宋_GB2312" w:cs="仿宋_GB2312"/>
          <w:kern w:val="0"/>
          <w:sz w:val="32"/>
          <w:szCs w:val="32"/>
        </w:rPr>
      </w:pPr>
      <w:r>
        <w:rPr>
          <w:rFonts w:hint="eastAsia" w:ascii="仿宋_GB2312" w:eastAsia="仿宋_GB2312" w:cs="仿宋_GB2312"/>
          <w:kern w:val="0"/>
          <w:sz w:val="32"/>
          <w:szCs w:val="32"/>
        </w:rPr>
        <w:t>（二）青苗及其他地上附着物补偿按《市人民政府关于继续实施武汉市被征收土地上的附着物和青苗补偿标准的通知》（武政规〔2025〕8号）相关标准执行。</w:t>
      </w:r>
    </w:p>
    <w:p w14:paraId="73C46BEB">
      <w:pPr>
        <w:keepNext w:val="0"/>
        <w:keepLines w:val="0"/>
        <w:pageBreakBefore w:val="0"/>
        <w:widowControl w:val="0"/>
        <w:kinsoku/>
        <w:wordWrap/>
        <w:overflowPunct/>
        <w:topLinePunct w:val="0"/>
        <w:bidi w:val="0"/>
        <w:snapToGrid/>
        <w:ind w:firstLine="640" w:firstLineChars="200"/>
        <w:jc w:val="both"/>
        <w:textAlignment w:val="auto"/>
        <w:rPr>
          <w:rFonts w:hint="eastAsia" w:ascii="仿宋_GB2312" w:eastAsia="仿宋_GB2312" w:cs="仿宋_GB2312"/>
          <w:kern w:val="0"/>
          <w:sz w:val="32"/>
          <w:szCs w:val="32"/>
        </w:rPr>
      </w:pPr>
      <w:r>
        <w:rPr>
          <w:rFonts w:hint="eastAsia" w:ascii="仿宋_GB2312" w:eastAsia="仿宋_GB2312" w:cs="仿宋_GB2312"/>
          <w:kern w:val="0"/>
          <w:sz w:val="32"/>
          <w:szCs w:val="32"/>
        </w:rPr>
        <w:t>（三）</w:t>
      </w:r>
      <w:r>
        <w:rPr>
          <w:rFonts w:hint="eastAsia" w:ascii="仿宋_GB2312" w:eastAsia="仿宋_GB2312" w:cs="仿宋_GB2312"/>
          <w:kern w:val="0"/>
          <w:sz w:val="32"/>
          <w:szCs w:val="32"/>
          <w:lang w:eastAsia="zh-CN"/>
        </w:rPr>
        <w:t>不涉及房屋及附属物安置补偿</w:t>
      </w:r>
      <w:r>
        <w:rPr>
          <w:rFonts w:hint="eastAsia" w:ascii="仿宋_GB2312" w:eastAsia="仿宋_GB2312" w:cs="仿宋_GB2312"/>
          <w:kern w:val="0"/>
          <w:sz w:val="32"/>
          <w:szCs w:val="32"/>
        </w:rPr>
        <w:t>。</w:t>
      </w:r>
    </w:p>
    <w:p w14:paraId="44597789">
      <w:pPr>
        <w:keepNext w:val="0"/>
        <w:keepLines w:val="0"/>
        <w:pageBreakBefore w:val="0"/>
        <w:widowControl w:val="0"/>
        <w:kinsoku/>
        <w:wordWrap/>
        <w:overflowPunct/>
        <w:topLinePunct w:val="0"/>
        <w:autoSpaceDE w:val="0"/>
        <w:autoSpaceDN w:val="0"/>
        <w:bidi w:val="0"/>
        <w:adjustRightInd w:val="0"/>
        <w:snapToGrid/>
        <w:ind w:firstLine="640" w:firstLineChars="200"/>
        <w:jc w:val="both"/>
        <w:textAlignment w:val="auto"/>
        <w:rPr>
          <w:rFonts w:ascii="黑体" w:eastAsia="黑体" w:cs="黑体"/>
          <w:kern w:val="0"/>
          <w:sz w:val="32"/>
          <w:szCs w:val="32"/>
        </w:rPr>
      </w:pPr>
      <w:r>
        <w:rPr>
          <w:rFonts w:hint="eastAsia" w:ascii="黑体" w:eastAsia="黑体" w:cs="黑体"/>
          <w:kern w:val="0"/>
          <w:sz w:val="32"/>
          <w:szCs w:val="32"/>
        </w:rPr>
        <w:t>五、安置方式和社会保障</w:t>
      </w:r>
    </w:p>
    <w:p w14:paraId="4B2BD756">
      <w:pPr>
        <w:keepNext w:val="0"/>
        <w:keepLines w:val="0"/>
        <w:pageBreakBefore w:val="0"/>
        <w:widowControl w:val="0"/>
        <w:kinsoku/>
        <w:wordWrap/>
        <w:overflowPunct/>
        <w:topLinePunct w:val="0"/>
        <w:autoSpaceDE w:val="0"/>
        <w:autoSpaceDN w:val="0"/>
        <w:bidi w:val="0"/>
        <w:adjustRightInd w:val="0"/>
        <w:snapToGrid/>
        <w:ind w:firstLine="640" w:firstLineChars="200"/>
        <w:jc w:val="both"/>
        <w:textAlignment w:val="auto"/>
        <w:rPr>
          <w:rFonts w:hint="eastAsia" w:ascii="仿宋_GB2312" w:eastAsia="仿宋_GB2312" w:cs="仿宋_GB2312"/>
          <w:kern w:val="0"/>
          <w:sz w:val="32"/>
          <w:szCs w:val="32"/>
        </w:rPr>
      </w:pPr>
      <w:r>
        <w:rPr>
          <w:rFonts w:hint="eastAsia" w:ascii="仿宋_GB2312" w:eastAsia="仿宋_GB2312" w:cs="仿宋_GB2312"/>
          <w:kern w:val="0"/>
          <w:sz w:val="32"/>
          <w:szCs w:val="32"/>
        </w:rPr>
        <w:t>拟采取货币安置和养老保险安置。符合条件的被征地农民养老保险安置按照《湖北省人民政府关于被征地农民参加基本养老保险的指导意见》（鄂政发〔2014〕53号）、《关于印发〈湖北省被征地农民养老保险补偿实施细则〉的通知》（鄂人社发〔2015〕2号）文件执行。</w:t>
      </w:r>
    </w:p>
    <w:p w14:paraId="1FF11947">
      <w:pPr>
        <w:keepNext w:val="0"/>
        <w:keepLines w:val="0"/>
        <w:pageBreakBefore w:val="0"/>
        <w:widowControl w:val="0"/>
        <w:kinsoku/>
        <w:wordWrap/>
        <w:overflowPunct/>
        <w:topLinePunct w:val="0"/>
        <w:autoSpaceDE w:val="0"/>
        <w:autoSpaceDN w:val="0"/>
        <w:bidi w:val="0"/>
        <w:adjustRightInd w:val="0"/>
        <w:snapToGrid/>
        <w:ind w:firstLine="800" w:firstLineChars="250"/>
        <w:jc w:val="both"/>
        <w:textAlignment w:val="auto"/>
        <w:rPr>
          <w:rFonts w:ascii="黑体" w:eastAsia="黑体" w:cs="黑体"/>
          <w:kern w:val="0"/>
          <w:sz w:val="32"/>
          <w:szCs w:val="32"/>
        </w:rPr>
      </w:pPr>
      <w:r>
        <w:rPr>
          <w:rFonts w:hint="eastAsia" w:ascii="黑体" w:eastAsia="黑体" w:cs="黑体"/>
          <w:kern w:val="0"/>
          <w:sz w:val="32"/>
          <w:szCs w:val="32"/>
        </w:rPr>
        <w:t>六、其他</w:t>
      </w:r>
    </w:p>
    <w:p w14:paraId="408D30EA">
      <w:pPr>
        <w:keepNext w:val="0"/>
        <w:keepLines w:val="0"/>
        <w:pageBreakBefore w:val="0"/>
        <w:widowControl w:val="0"/>
        <w:kinsoku/>
        <w:wordWrap/>
        <w:overflowPunct/>
        <w:topLinePunct w:val="0"/>
        <w:autoSpaceDE w:val="0"/>
        <w:autoSpaceDN w:val="0"/>
        <w:bidi w:val="0"/>
        <w:adjustRightInd w:val="0"/>
        <w:snapToGrid/>
        <w:ind w:firstLine="640" w:firstLineChars="200"/>
        <w:jc w:val="both"/>
        <w:textAlignment w:val="auto"/>
      </w:pPr>
      <w:r>
        <w:rPr>
          <w:rFonts w:hint="eastAsia" w:ascii="仿宋_GB2312" w:eastAsia="仿宋_GB2312" w:cs="仿宋_GB2312"/>
          <w:kern w:val="0"/>
          <w:sz w:val="32"/>
          <w:szCs w:val="32"/>
        </w:rPr>
        <w:t>在征收实施过程中，本《方案》相关内容发生变化的，以与土地所有权人、使用权人和地上附着物产权人签订的《征地补偿协议》约定内容为准。</w:t>
      </w:r>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auto"/>
    <w:pitch w:val="default"/>
    <w:sig w:usb0="E0002AFF" w:usb1="C0007841" w:usb2="00000009" w:usb3="00000000" w:csb0="400001FF" w:csb1="FFFF0000"/>
  </w:font>
  <w:font w:name="宋体">
    <w:panose1 w:val="02010600030101010101"/>
    <w:charset w:val="A1"/>
    <w:family w:val="swiss"/>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小标宋简体">
    <w:panose1 w:val="02000000000000000000"/>
    <w:charset w:val="86"/>
    <w:family w:val="auto"/>
    <w:pitch w:val="default"/>
    <w:sig w:usb0="00000001" w:usb1="0800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TimesNewRomanPSMT">
    <w:altName w:val="Times New Roman"/>
    <w:panose1 w:val="00000000000000000000"/>
    <w:charset w:val="86"/>
    <w:family w:val="auto"/>
    <w:pitch w:val="default"/>
    <w:sig w:usb0="00000000" w:usb1="00000000" w:usb2="00000010" w:usb3="00000000" w:csb0="00040000" w:csb1="00000000"/>
  </w:font>
  <w:font w:name="微软雅黑">
    <w:panose1 w:val="020B0503020204020204"/>
    <w:charset w:val="86"/>
    <w:family w:val="auto"/>
    <w:pitch w:val="default"/>
    <w:sig w:usb0="80000287" w:usb1="280F3C52" w:usb2="00000016" w:usb3="00000000" w:csb0="0004001F" w:csb1="00000000"/>
  </w:font>
  <w:font w:name="楷体">
    <w:panose1 w:val="02010609060101010101"/>
    <w:charset w:val="86"/>
    <w:family w:val="auto"/>
    <w:pitch w:val="default"/>
    <w:sig w:usb0="800002BF" w:usb1="38CF7CFA" w:usb2="00000016" w:usb3="00000000" w:csb0="00040001" w:csb1="00000000"/>
  </w:font>
  <w:font w:name="华文中宋">
    <w:panose1 w:val="02010600040101010101"/>
    <w:charset w:val="86"/>
    <w:family w:val="auto"/>
    <w:pitch w:val="default"/>
    <w:sig w:usb0="00000287" w:usb1="080F0000" w:usb2="00000000" w:usb3="00000000" w:csb0="0004009F" w:csb1="DFD70000"/>
  </w:font>
  <w:font w:name="WPSEMBED8">
    <w:panose1 w:val="02010600040101010101"/>
    <w:charset w:val="86"/>
    <w:family w:val="auto"/>
    <w:pitch w:val="default"/>
    <w:sig w:usb0="00000287" w:usb1="080F0000" w:usb2="00000000" w:usb3="00000000" w:csb0="0004009F" w:csb1="DFD7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7"/>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GFjMjRiMDQ0MDMwNmJmNmMzYThjZjhiZGMyYjBlZDgifQ=="/>
  </w:docVars>
  <w:rsids>
    <w:rsidRoot w:val="6BA04C2C"/>
    <w:rsid w:val="013536AD"/>
    <w:rsid w:val="0204520D"/>
    <w:rsid w:val="02EA51E8"/>
    <w:rsid w:val="039412D7"/>
    <w:rsid w:val="05AB1BF4"/>
    <w:rsid w:val="08672593"/>
    <w:rsid w:val="098D7D07"/>
    <w:rsid w:val="0A0226E4"/>
    <w:rsid w:val="0AC4460C"/>
    <w:rsid w:val="0ECC5EA0"/>
    <w:rsid w:val="142F6780"/>
    <w:rsid w:val="158A5A42"/>
    <w:rsid w:val="16D00309"/>
    <w:rsid w:val="194E5FFC"/>
    <w:rsid w:val="19C92FDD"/>
    <w:rsid w:val="1C624BA5"/>
    <w:rsid w:val="20F52909"/>
    <w:rsid w:val="26CC5EBA"/>
    <w:rsid w:val="26EB60CD"/>
    <w:rsid w:val="28643ED1"/>
    <w:rsid w:val="28AE4CF6"/>
    <w:rsid w:val="28FD25F4"/>
    <w:rsid w:val="2A6D7EF5"/>
    <w:rsid w:val="2A757E5C"/>
    <w:rsid w:val="2A864B66"/>
    <w:rsid w:val="2AEE2DCC"/>
    <w:rsid w:val="2D0F6B01"/>
    <w:rsid w:val="2E1D1960"/>
    <w:rsid w:val="2FFD0E93"/>
    <w:rsid w:val="306F334C"/>
    <w:rsid w:val="311D30C7"/>
    <w:rsid w:val="313D19C3"/>
    <w:rsid w:val="32764F2C"/>
    <w:rsid w:val="3D377D80"/>
    <w:rsid w:val="3D993D20"/>
    <w:rsid w:val="3F56036D"/>
    <w:rsid w:val="4695042E"/>
    <w:rsid w:val="495B7193"/>
    <w:rsid w:val="49C5081B"/>
    <w:rsid w:val="4D0F61C4"/>
    <w:rsid w:val="4D50664E"/>
    <w:rsid w:val="532D517E"/>
    <w:rsid w:val="53687173"/>
    <w:rsid w:val="5AB0697E"/>
    <w:rsid w:val="5D7B6CF9"/>
    <w:rsid w:val="5FCF5AF8"/>
    <w:rsid w:val="635A2722"/>
    <w:rsid w:val="649E1F3D"/>
    <w:rsid w:val="6BA04C2C"/>
    <w:rsid w:val="6CFC2164"/>
    <w:rsid w:val="6D21370B"/>
    <w:rsid w:val="6F0B01CF"/>
    <w:rsid w:val="722B679A"/>
    <w:rsid w:val="744D558A"/>
    <w:rsid w:val="7A2D1941"/>
    <w:rsid w:val="7CF9020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qFormat="1"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0"/>
    <w:pPr>
      <w:keepNext/>
      <w:keepLines/>
      <w:spacing w:before="120" w:beforeLines="0" w:beforeAutospacing="0" w:after="120" w:afterLines="0" w:afterAutospacing="0" w:line="576" w:lineRule="auto"/>
      <w:jc w:val="center"/>
      <w:outlineLvl w:val="0"/>
    </w:pPr>
    <w:rPr>
      <w:b/>
      <w:kern w:val="44"/>
      <w:sz w:val="44"/>
    </w:rPr>
  </w:style>
  <w:style w:type="paragraph" w:styleId="3">
    <w:name w:val="heading 2"/>
    <w:basedOn w:val="1"/>
    <w:next w:val="1"/>
    <w:semiHidden/>
    <w:unhideWhenUsed/>
    <w:qFormat/>
    <w:uiPriority w:val="0"/>
    <w:pPr>
      <w:keepNext/>
      <w:keepLines/>
      <w:spacing w:before="20" w:beforeLines="0" w:beforeAutospacing="0" w:after="20" w:afterLines="0" w:afterAutospacing="0" w:line="240" w:lineRule="auto"/>
      <w:jc w:val="center"/>
      <w:outlineLvl w:val="1"/>
    </w:pPr>
    <w:rPr>
      <w:b/>
      <w:sz w:val="32"/>
    </w:rPr>
  </w:style>
  <w:style w:type="paragraph" w:styleId="4">
    <w:name w:val="heading 3"/>
    <w:basedOn w:val="1"/>
    <w:next w:val="1"/>
    <w:semiHidden/>
    <w:unhideWhenUsed/>
    <w:qFormat/>
    <w:uiPriority w:val="0"/>
    <w:pPr>
      <w:keepNext/>
      <w:keepLines/>
      <w:spacing w:before="260" w:beforeLines="0" w:beforeAutospacing="0" w:after="260" w:afterLines="0" w:afterAutospacing="0" w:line="240" w:lineRule="auto"/>
      <w:jc w:val="center"/>
      <w:outlineLvl w:val="2"/>
    </w:pPr>
    <w:rPr>
      <w:b/>
      <w:sz w:val="30"/>
    </w:rPr>
  </w:style>
  <w:style w:type="paragraph" w:styleId="5">
    <w:name w:val="heading 4"/>
    <w:basedOn w:val="1"/>
    <w:next w:val="1"/>
    <w:semiHidden/>
    <w:unhideWhenUsed/>
    <w:qFormat/>
    <w:uiPriority w:val="0"/>
    <w:pPr>
      <w:keepNext/>
      <w:keepLines/>
      <w:tabs>
        <w:tab w:val="left" w:pos="864"/>
      </w:tabs>
      <w:adjustRightInd w:val="0"/>
      <w:snapToGrid w:val="0"/>
      <w:ind w:left="862" w:hanging="142"/>
      <w:jc w:val="left"/>
      <w:outlineLvl w:val="3"/>
    </w:pPr>
    <w:rPr>
      <w:rFonts w:ascii="Times New Roman" w:hAnsi="Times New Roman" w:eastAsia="仿宋" w:cs="Times New Roman"/>
      <w:bCs/>
      <w:snapToGrid w:val="0"/>
      <w:color w:val="000000"/>
      <w:kern w:val="0"/>
      <w:sz w:val="28"/>
      <w:szCs w:val="28"/>
    </w:rPr>
  </w:style>
  <w:style w:type="paragraph" w:styleId="6">
    <w:name w:val="heading 5"/>
    <w:basedOn w:val="1"/>
    <w:next w:val="1"/>
    <w:semiHidden/>
    <w:unhideWhenUsed/>
    <w:qFormat/>
    <w:uiPriority w:val="0"/>
    <w:pPr>
      <w:keepNext/>
      <w:keepLines/>
      <w:widowControl/>
      <w:tabs>
        <w:tab w:val="left" w:pos="1008"/>
      </w:tabs>
      <w:spacing w:before="280" w:after="290" w:line="240" w:lineRule="auto"/>
      <w:ind w:left="1008" w:hanging="1008"/>
      <w:outlineLvl w:val="4"/>
    </w:pPr>
    <w:rPr>
      <w:rFonts w:ascii="Times New Roman" w:hAnsi="Times New Roman" w:eastAsia="仿宋" w:cs="Times New Roman"/>
      <w:b/>
      <w:bCs/>
      <w:snapToGrid w:val="0"/>
      <w:color w:val="000000"/>
      <w:kern w:val="0"/>
      <w:sz w:val="28"/>
      <w:szCs w:val="28"/>
      <w:lang w:eastAsia="zh-CN"/>
    </w:rPr>
  </w:style>
  <w:style w:type="character" w:default="1" w:styleId="10">
    <w:name w:val="Default Paragraph Font"/>
    <w:semiHidden/>
    <w:qFormat/>
    <w:uiPriority w:val="0"/>
  </w:style>
  <w:style w:type="table" w:default="1" w:styleId="9">
    <w:name w:val="Normal Table"/>
    <w:semiHidden/>
    <w:qFormat/>
    <w:uiPriority w:val="0"/>
    <w:tblPr>
      <w:tblCellMar>
        <w:top w:w="0" w:type="dxa"/>
        <w:left w:w="108" w:type="dxa"/>
        <w:bottom w:w="0" w:type="dxa"/>
        <w:right w:w="108" w:type="dxa"/>
      </w:tblCellMar>
    </w:tblPr>
  </w:style>
  <w:style w:type="paragraph" w:styleId="7">
    <w:name w:val="table of authorities"/>
    <w:basedOn w:val="1"/>
    <w:next w:val="1"/>
    <w:qFormat/>
    <w:uiPriority w:val="0"/>
    <w:pPr>
      <w:ind w:left="420" w:leftChars="200"/>
    </w:pPr>
  </w:style>
  <w:style w:type="paragraph" w:styleId="8">
    <w:name w:val="footer"/>
    <w:basedOn w:val="7"/>
    <w:link w:val="11"/>
    <w:qFormat/>
    <w:uiPriority w:val="0"/>
    <w:pPr>
      <w:tabs>
        <w:tab w:val="center" w:pos="4153"/>
        <w:tab w:val="right" w:pos="8306"/>
      </w:tabs>
      <w:snapToGrid w:val="0"/>
      <w:jc w:val="left"/>
    </w:pPr>
    <w:rPr>
      <w:rFonts w:ascii="Times New Roman" w:hAnsi="Times New Roman" w:eastAsia="宋体"/>
      <w:sz w:val="18"/>
      <w:szCs w:val="18"/>
    </w:rPr>
  </w:style>
  <w:style w:type="character" w:customStyle="1" w:styleId="11">
    <w:name w:val="页脚 字符"/>
    <w:link w:val="8"/>
    <w:qFormat/>
    <w:uiPriority w:val="99"/>
    <w:rPr>
      <w:rFonts w:ascii="Times New Roman" w:hAnsi="Times New Roman" w:eastAsia="宋体"/>
      <w:kern w:val="2"/>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2422</Words>
  <Characters>2579</Characters>
  <Lines>0</Lines>
  <Paragraphs>0</Paragraphs>
  <TotalTime>191</TotalTime>
  <ScaleCrop>false</ScaleCrop>
  <LinksUpToDate>false</LinksUpToDate>
  <CharactersWithSpaces>2596</CharactersWithSpaces>
  <Application>WPS Office_12.1.0.26391_F1E327BC-269C-435d-A152-05C5408002CA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2026-03-24T01:21:00Z</dcterms:created>
  <dc:creator>Liyulu_</dc:creator>
  <cp:lastModifiedBy>栾沣</cp:lastModifiedBy>
  <cp:lastPrinted>2026-06-30T02:29:00Z</cp:lastPrinted>
  <dcterms:modified xsi:type="dcterms:W3CDTF">2026-07-06T07:06:43Z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2052-12.1.0.26391</vt:lpwstr>
  </property>
  <property fmtid="{D5CDD505-2E9C-101B-9397-08002B2CF9AE}" pid="3" name="ICV">
    <vt:lpwstr>A57DCC4847B24489A408C62A667DD096_13</vt:lpwstr>
  </property>
  <property fmtid="{D5CDD505-2E9C-101B-9397-08002B2CF9AE}" pid="4" name="KSOTemplateDocerSaveRecord">
    <vt:lpwstr>eyJoZGlkIjoiMWMwOTgzNjBiZTI5YmM5MGI2MmZjNDU5YTEyMWU3ZDkiLCJ1c2VySWQiOiIzMDc2NzU4NTYifQ==</vt:lpwstr>
  </property>
</Properties>
</file>