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CA2B">
      <w:pPr>
        <w:spacing w:line="480" w:lineRule="exact"/>
        <w:rPr>
          <w:rFonts w:hint="eastAsia" w:ascii="华文中宋" w:hAnsi="华文中宋" w:eastAsia="华文中宋"/>
          <w:sz w:val="44"/>
          <w:szCs w:val="44"/>
        </w:rPr>
      </w:pPr>
      <w:r>
        <w:rPr>
          <w:rFonts w:hint="eastAsia" w:ascii="黑体" w:eastAsia="黑体" w:cs="黑体"/>
          <w:kern w:val="0"/>
          <w:sz w:val="32"/>
          <w:szCs w:val="32"/>
        </w:rPr>
        <w:t>附件3：</w:t>
      </w:r>
    </w:p>
    <w:p w14:paraId="1EA1ADB8">
      <w:pPr>
        <w:spacing w:line="480" w:lineRule="exact"/>
        <w:jc w:val="center"/>
        <w:rPr>
          <w:rFonts w:hint="eastAsia" w:ascii="华文中宋" w:hAnsi="华文中宋" w:eastAsia="华文中宋"/>
          <w:sz w:val="44"/>
          <w:szCs w:val="44"/>
        </w:rPr>
      </w:pPr>
    </w:p>
    <w:p w14:paraId="3B55ED97">
      <w:pPr>
        <w:spacing w:line="480" w:lineRule="exact"/>
        <w:jc w:val="center"/>
        <w:rPr>
          <w:rFonts w:hint="eastAsia" w:ascii="华文中宋" w:hAnsi="华文中宋" w:eastAsia="华文中宋"/>
          <w:sz w:val="32"/>
          <w:szCs w:val="32"/>
        </w:rPr>
      </w:pPr>
      <w:r>
        <w:rPr>
          <w:rFonts w:hint="eastAsia" w:ascii="华文中宋" w:hAnsi="华文中宋" w:eastAsia="华文中宋"/>
          <w:sz w:val="44"/>
          <w:szCs w:val="44"/>
        </w:rPr>
        <w:t>征地补偿安置方案</w:t>
      </w:r>
    </w:p>
    <w:p w14:paraId="2848589D">
      <w:pPr>
        <w:spacing w:line="500" w:lineRule="exact"/>
        <w:jc w:val="center"/>
        <w:rPr>
          <w:rFonts w:hint="eastAsia" w:ascii="仿宋_GB2312" w:eastAsia="仿宋_GB2312"/>
          <w:sz w:val="32"/>
          <w:szCs w:val="32"/>
        </w:rPr>
      </w:pPr>
    </w:p>
    <w:p w14:paraId="65BD57A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bookmarkStart w:id="0" w:name="OLE_LINK1"/>
      <w:r>
        <w:rPr>
          <w:rFonts w:hint="eastAsia" w:ascii="仿宋_GB2312" w:eastAsia="仿宋_GB2312" w:cs="仿宋_GB2312"/>
          <w:kern w:val="0"/>
          <w:sz w:val="32"/>
          <w:szCs w:val="32"/>
        </w:rPr>
        <w:t>根据</w:t>
      </w:r>
      <w:r>
        <w:rPr>
          <w:rFonts w:hint="eastAsia" w:ascii="仿宋_GB2312" w:hAnsi="宋体" w:eastAsia="仿宋_GB2312"/>
          <w:sz w:val="32"/>
          <w:szCs w:val="32"/>
        </w:rPr>
        <w:t>《征收土地预公告》</w:t>
      </w:r>
      <w:r>
        <w:rPr>
          <w:rFonts w:hint="eastAsia" w:ascii="仿宋_GB2312" w:hAnsi="宋体" w:eastAsia="仿宋_GB2312"/>
          <w:sz w:val="32"/>
          <w:szCs w:val="32"/>
          <w:lang w:eastAsia="zh-CN"/>
        </w:rPr>
        <w:t>（</w:t>
      </w:r>
      <w:r>
        <w:rPr>
          <w:rFonts w:hint="eastAsia" w:ascii="仿宋_GB2312" w:hAnsi="宋体" w:eastAsia="仿宋_GB2312"/>
          <w:sz w:val="32"/>
          <w:szCs w:val="32"/>
        </w:rPr>
        <w:t>青土告字[2026]1号</w:t>
      </w:r>
      <w:r>
        <w:rPr>
          <w:rFonts w:hint="eastAsia" w:ascii="仿宋_GB2312" w:hAnsi="宋体" w:eastAsia="仿宋_GB2312"/>
          <w:sz w:val="32"/>
          <w:szCs w:val="32"/>
          <w:lang w:eastAsia="zh-CN"/>
        </w:rPr>
        <w:t>）</w:t>
      </w:r>
      <w:r>
        <w:rPr>
          <w:rFonts w:hint="eastAsia" w:ascii="仿宋_GB2312" w:hAnsi="宋体" w:eastAsia="仿宋_GB2312"/>
          <w:sz w:val="32"/>
          <w:szCs w:val="32"/>
        </w:rPr>
        <w:t>，</w:t>
      </w:r>
      <w:r>
        <w:rPr>
          <w:rFonts w:hint="eastAsia" w:ascii="仿宋_GB2312" w:eastAsia="仿宋_GB2312"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75DFFE7B">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一、土地征收目的</w:t>
      </w:r>
    </w:p>
    <w:p w14:paraId="012CF484">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该项目已纳入正在编制的青山区土地征收成片开发方案(2025-2027年),符合《土地管理法》第四十五条第(五)项规定的公共利益情形，属于由政府组织实施的成片开发建设活动，因成片开发建设需要，确需征收农民集体所有土地。</w:t>
      </w:r>
    </w:p>
    <w:p w14:paraId="13161744">
      <w:pPr>
        <w:keepNext w:val="0"/>
        <w:keepLines w:val="0"/>
        <w:pageBreakBefore w:val="0"/>
        <w:widowControl w:val="0"/>
        <w:kinsoku/>
        <w:wordWrap/>
        <w:overflowPunct/>
        <w:topLinePunct w:val="0"/>
        <w:autoSpaceDE w:val="0"/>
        <w:autoSpaceDN w:val="0"/>
        <w:bidi w:val="0"/>
        <w:adjustRightInd w:val="0"/>
        <w:snapToGrid/>
        <w:jc w:val="both"/>
        <w:textAlignment w:val="auto"/>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二、土地征收位置、面积和范围</w:t>
      </w:r>
    </w:p>
    <w:p w14:paraId="32DA84C7">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该项目建设用地征收涉及我区</w:t>
      </w:r>
      <w:r>
        <w:rPr>
          <w:rFonts w:hint="eastAsia" w:ascii="仿宋_GB2312" w:eastAsia="仿宋_GB2312" w:cs="仿宋_GB2312"/>
          <w:kern w:val="0"/>
          <w:sz w:val="32"/>
          <w:szCs w:val="32"/>
          <w:lang w:eastAsia="zh-CN"/>
        </w:rPr>
        <w:t>白玉山</w:t>
      </w:r>
      <w:r>
        <w:rPr>
          <w:rFonts w:hint="eastAsia" w:ascii="仿宋_GB2312" w:eastAsia="仿宋_GB2312" w:cs="仿宋_GB2312"/>
          <w:kern w:val="0"/>
          <w:sz w:val="32"/>
          <w:szCs w:val="32"/>
        </w:rPr>
        <w:t>街</w:t>
      </w:r>
      <w:r>
        <w:rPr>
          <w:rFonts w:hint="eastAsia" w:ascii="仿宋_GB2312" w:eastAsia="仿宋_GB2312" w:cs="仿宋_GB2312"/>
          <w:kern w:val="0"/>
          <w:sz w:val="32"/>
          <w:szCs w:val="32"/>
          <w:lang w:eastAsia="zh-CN"/>
        </w:rPr>
        <w:t>同兴</w:t>
      </w:r>
      <w:r>
        <w:rPr>
          <w:rFonts w:hint="eastAsia" w:ascii="仿宋_GB2312" w:eastAsia="仿宋_GB2312" w:cs="仿宋_GB2312"/>
          <w:kern w:val="0"/>
          <w:sz w:val="32"/>
          <w:szCs w:val="32"/>
        </w:rPr>
        <w:t>村，拟用地</w:t>
      </w:r>
      <w:r>
        <w:rPr>
          <w:rFonts w:hint="eastAsia" w:ascii="仿宋_GB2312" w:eastAsia="仿宋_GB2312" w:cs="仿宋_GB2312"/>
          <w:kern w:val="0"/>
          <w:sz w:val="32"/>
          <w:szCs w:val="32"/>
          <w:highlight w:val="none"/>
        </w:rPr>
        <w:t>总面积</w:t>
      </w:r>
      <w:r>
        <w:rPr>
          <w:rFonts w:hint="eastAsia" w:ascii="仿宋_GB2312" w:eastAsia="仿宋_GB2312" w:cs="仿宋_GB2312"/>
          <w:kern w:val="0"/>
          <w:sz w:val="32"/>
          <w:szCs w:val="32"/>
          <w:highlight w:val="none"/>
          <w:lang w:val="en-US" w:eastAsia="zh-CN"/>
        </w:rPr>
        <w:t>3.3239</w:t>
      </w:r>
      <w:r>
        <w:rPr>
          <w:rFonts w:hint="eastAsia" w:ascii="仿宋_GB2312" w:eastAsia="仿宋_GB2312" w:cs="仿宋_GB2312"/>
          <w:kern w:val="0"/>
          <w:sz w:val="32"/>
          <w:szCs w:val="32"/>
          <w:highlight w:val="none"/>
        </w:rPr>
        <w:t>公顷</w:t>
      </w:r>
      <w:r>
        <w:rPr>
          <w:rFonts w:hint="eastAsia" w:ascii="仿宋_GB2312" w:eastAsia="仿宋_GB2312" w:cs="仿宋_GB2312"/>
          <w:kern w:val="0"/>
          <w:sz w:val="32"/>
          <w:szCs w:val="32"/>
        </w:rPr>
        <w:t>；按权属和地类分：均为农民集体所有。具体范围详见勘测定界图。</w:t>
      </w:r>
    </w:p>
    <w:p w14:paraId="58C81794">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三、土地现状调查结果</w:t>
      </w:r>
    </w:p>
    <w:p w14:paraId="24EA0295">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拟征土地权属、面积、地类及农村村民住宅、其他地上附着物和青苗等的权属、种类、数量等详见《</w:t>
      </w:r>
      <w:r>
        <w:rPr>
          <w:rFonts w:hint="eastAsia" w:ascii="仿宋_GB2312" w:hAnsi="宋体" w:eastAsia="仿宋_GB2312"/>
          <w:sz w:val="32"/>
          <w:szCs w:val="32"/>
        </w:rPr>
        <w:t>拟征收</w:t>
      </w:r>
      <w:r>
        <w:rPr>
          <w:rFonts w:hint="eastAsia" w:ascii="仿宋_GB2312" w:eastAsia="仿宋_GB2312" w:cs="仿宋_GB2312"/>
          <w:kern w:val="0"/>
          <w:sz w:val="32"/>
          <w:szCs w:val="32"/>
        </w:rPr>
        <w:t>土地现状调查结果的确认表》。</w:t>
      </w:r>
    </w:p>
    <w:p w14:paraId="0AA22D29">
      <w:pPr>
        <w:keepNext w:val="0"/>
        <w:keepLines w:val="0"/>
        <w:pageBreakBefore w:val="0"/>
        <w:widowControl w:val="0"/>
        <w:kinsoku/>
        <w:wordWrap/>
        <w:overflowPunct/>
        <w:topLinePunct w:val="0"/>
        <w:autoSpaceDE w:val="0"/>
        <w:autoSpaceDN w:val="0"/>
        <w:bidi w:val="0"/>
        <w:adjustRightInd w:val="0"/>
        <w:snapToGrid/>
        <w:jc w:val="both"/>
        <w:textAlignment w:val="auto"/>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四、土地征收补偿标准</w:t>
      </w:r>
    </w:p>
    <w:p w14:paraId="26D73B8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土地补偿费和安置补助费补偿标准执行《省人民政府关于重新公布全省征地区片综合地价标准的通知》(鄂政发〔2023〕16号）和《市人民政府关于公布武汉市征收集体建设用地和未利用地补偿标准的通知》（武政规〔2024〕7号），拟征土地位于</w:t>
      </w:r>
      <w:r>
        <w:rPr>
          <w:rFonts w:hint="eastAsia" w:ascii="仿宋_GB2312" w:eastAsia="仿宋_GB2312" w:cs="仿宋_GB2312"/>
          <w:kern w:val="0"/>
          <w:sz w:val="32"/>
          <w:szCs w:val="32"/>
          <w:lang w:eastAsia="zh-CN"/>
        </w:rPr>
        <w:t>武汉市中心城区Ⅲ类</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个征地</w:t>
      </w:r>
      <w:r>
        <w:rPr>
          <w:rFonts w:hint="eastAsia" w:ascii="仿宋_GB2312" w:eastAsia="仿宋_GB2312" w:cs="仿宋_GB2312"/>
          <w:kern w:val="0"/>
          <w:sz w:val="32"/>
          <w:szCs w:val="32"/>
        </w:rPr>
        <w:t>区片综合地价区域，标准为</w:t>
      </w:r>
      <w:r>
        <w:rPr>
          <w:rFonts w:hint="eastAsia" w:ascii="仿宋_GB2312" w:eastAsia="仿宋_GB2312" w:cs="仿宋_GB2312"/>
          <w:kern w:val="0"/>
          <w:sz w:val="32"/>
          <w:szCs w:val="32"/>
          <w:lang w:val="en-US" w:eastAsia="zh-CN"/>
        </w:rPr>
        <w:t>432</w:t>
      </w:r>
      <w:r>
        <w:rPr>
          <w:rFonts w:hint="eastAsia" w:ascii="仿宋_GB2312" w:eastAsia="仿宋_GB2312" w:cs="仿宋_GB2312"/>
          <w:kern w:val="0"/>
          <w:sz w:val="32"/>
          <w:szCs w:val="32"/>
        </w:rPr>
        <w:t>万元/公顷，土地补偿费按标准的40%计算，安置补助费按标准的60%计算。</w:t>
      </w:r>
    </w:p>
    <w:p w14:paraId="05D43E56">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（二）青苗及其他地上附着物补偿按《市人民政府关于继续实施武汉市被征收土地上的附着物和青苗补偿标准的通知》（武政规〔2025〕8号）相关标准执行。</w:t>
      </w:r>
    </w:p>
    <w:p w14:paraId="73C46BEB">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不涉及房屋及附属物安置补偿</w:t>
      </w:r>
      <w:r>
        <w:rPr>
          <w:rFonts w:hint="eastAsia" w:ascii="仿宋_GB2312" w:eastAsia="仿宋_GB2312" w:cs="仿宋_GB2312"/>
          <w:kern w:val="0"/>
          <w:sz w:val="32"/>
          <w:szCs w:val="32"/>
        </w:rPr>
        <w:t>。</w:t>
      </w:r>
    </w:p>
    <w:p w14:paraId="44597789">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黑体" w:eastAsia="黑体" w:cs="黑体"/>
          <w:kern w:val="0"/>
          <w:sz w:val="32"/>
          <w:szCs w:val="32"/>
        </w:rPr>
      </w:pPr>
      <w:r>
        <w:rPr>
          <w:rFonts w:hint="eastAsia" w:ascii="黑体" w:eastAsia="黑体" w:cs="黑体"/>
          <w:kern w:val="0"/>
          <w:sz w:val="32"/>
          <w:szCs w:val="32"/>
        </w:rPr>
        <w:t>五、安置方式和社会保障</w:t>
      </w:r>
    </w:p>
    <w:p w14:paraId="4B2BD756">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拟采取货币安置和养老保险安置。符合条件的被征地农民养老保险安置按照《湖北省人民政府关于被征地农民参加基本养老保险的指导意见》（鄂政发〔2014〕53号）、《关于印发〈湖北省被征地农民养老保险补偿实施细则〉的通知》（鄂人社发〔2015〕2号）文件执行。</w:t>
      </w:r>
    </w:p>
    <w:p w14:paraId="1FF11947">
      <w:pPr>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ascii="黑体" w:eastAsia="黑体" w:cs="黑体"/>
          <w:kern w:val="0"/>
          <w:sz w:val="32"/>
          <w:szCs w:val="32"/>
        </w:rPr>
      </w:pPr>
      <w:r>
        <w:rPr>
          <w:rFonts w:hint="eastAsia" w:ascii="黑体" w:eastAsia="黑体" w:cs="黑体"/>
          <w:kern w:val="0"/>
          <w:sz w:val="32"/>
          <w:szCs w:val="32"/>
        </w:rPr>
        <w:t>六、其他</w:t>
      </w:r>
    </w:p>
    <w:p w14:paraId="408D30EA">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pPr>
      <w:r>
        <w:rPr>
          <w:rFonts w:hint="eastAsia" w:ascii="仿宋_GB2312" w:eastAsia="仿宋_GB2312" w:cs="仿宋_GB2312"/>
          <w:kern w:val="0"/>
          <w:sz w:val="32"/>
          <w:szCs w:val="32"/>
        </w:rPr>
        <w:t>在征收实施过程中，本《方案》相关内容发生变化的，以与土地所有权人、使用权人和地上附着物产权人签订的《征地补偿协议》约定内容为准。</w:t>
      </w:r>
      <w:bookmarkEnd w:id="0"/>
    </w:p>
    <w:p w14:paraId="7CF4A42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57BE0"/>
    <w:rsid w:val="3C25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2026-04-14T08:34:00Z</dcterms:created>
  <dc:creator>朗尼先生、</dc:creator>
  <cp:lastModifiedBy>朗尼先生、</cp:lastModifiedBy>
  <dcterms:modified xsi:type="dcterms:W3CDTF">2026-04-14T08:35:58Z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1CD6CFDABF254F56B495C0D0F3915A82_11</vt:lpwstr>
  </property>
  <property fmtid="{D5CDD505-2E9C-101B-9397-08002B2CF9AE}" pid="4" name="KSOTemplateDocerSaveRecord">
    <vt:lpwstr>eyJoZGlkIjoiMzY2Mjk1M2RhNDcwMjBjMWViZmRiMGY5NmQ3YWEyYWEiLCJ1c2VySWQiOiI0NjYzMzIyMDgifQ==</vt:lpwstr>
  </property>
</Properties>
</file>