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9FDC5">
      <w:pPr>
        <w:snapToGrid w:val="0"/>
        <w:spacing w:line="600" w:lineRule="exact"/>
        <w:jc w:val="both"/>
        <w:rPr>
          <w:rFonts w:hint="eastAsia" w:ascii="华文中宋" w:hAnsi="华文中宋" w:eastAsia="华文中宋" w:cs="华文中宋"/>
          <w:b/>
          <w:bCs/>
          <w:spacing w:val="11"/>
          <w:sz w:val="32"/>
          <w:szCs w:val="32"/>
          <w:lang w:val="en-US" w:eastAsia="zh-CN"/>
        </w:rPr>
      </w:pPr>
      <w:r>
        <w:rPr>
          <w:rFonts w:hint="eastAsia" w:ascii="华文中宋" w:hAnsi="华文中宋" w:eastAsia="华文中宋" w:cs="华文中宋"/>
          <w:b/>
          <w:bCs/>
          <w:spacing w:val="11"/>
          <w:sz w:val="32"/>
          <w:szCs w:val="32"/>
          <w:lang w:val="en-US" w:eastAsia="zh-CN"/>
        </w:rPr>
        <w:t>附件</w:t>
      </w:r>
    </w:p>
    <w:p w14:paraId="0B695DB0">
      <w:pPr>
        <w:snapToGrid w:val="0"/>
        <w:spacing w:line="600" w:lineRule="exact"/>
        <w:jc w:val="both"/>
        <w:rPr>
          <w:rFonts w:hint="default" w:ascii="华文中宋" w:hAnsi="华文中宋" w:eastAsia="华文中宋" w:cs="华文中宋"/>
          <w:spacing w:val="11"/>
          <w:sz w:val="32"/>
          <w:szCs w:val="32"/>
          <w:lang w:val="en-US" w:eastAsia="zh-CN"/>
        </w:rPr>
      </w:pPr>
    </w:p>
    <w:p w14:paraId="6DE4ED10">
      <w:pPr>
        <w:snapToGrid w:val="0"/>
        <w:spacing w:line="600" w:lineRule="exact"/>
        <w:ind w:right="479" w:rightChars="228" w:firstLine="420"/>
        <w:jc w:val="center"/>
        <w:rPr>
          <w:rFonts w:hint="eastAsia" w:ascii="华文中宋" w:hAnsi="华文中宋" w:eastAsia="华文中宋" w:cs="华文中宋"/>
          <w:spacing w:val="11"/>
          <w:sz w:val="44"/>
          <w:szCs w:val="44"/>
        </w:rPr>
      </w:pPr>
      <w:r>
        <w:rPr>
          <w:rFonts w:hint="eastAsia" w:ascii="华文中宋" w:hAnsi="华文中宋" w:eastAsia="华文中宋" w:cs="华文中宋"/>
          <w:spacing w:val="11"/>
          <w:sz w:val="44"/>
          <w:szCs w:val="44"/>
        </w:rPr>
        <w:t>和平大道（工人村路-四环线）工程房屋征收项目征收补偿方案</w:t>
      </w:r>
    </w:p>
    <w:p w14:paraId="3A86E458">
      <w:pPr>
        <w:snapToGrid w:val="0"/>
        <w:spacing w:line="564" w:lineRule="exact"/>
        <w:ind w:firstLine="2880" w:firstLineChars="900"/>
        <w:jc w:val="both"/>
        <w:rPr>
          <w:rFonts w:hint="eastAsia" w:ascii="仿宋" w:hAnsi="仿宋" w:eastAsia="仿宋" w:cs="仿宋"/>
          <w:sz w:val="32"/>
          <w:szCs w:val="32"/>
          <w:lang w:val="en-US" w:eastAsia="zh-CN"/>
        </w:rPr>
      </w:pPr>
      <w:r>
        <w:rPr>
          <w:rFonts w:hint="eastAsia" w:ascii="仿宋" w:hAnsi="仿宋" w:eastAsia="仿宋" w:cs="仿宋"/>
          <w:sz w:val="32"/>
          <w:szCs w:val="32"/>
        </w:rPr>
        <w:t>（征求意见稿）</w:t>
      </w:r>
      <w:r>
        <w:rPr>
          <w:rFonts w:hint="eastAsia" w:ascii="仿宋" w:hAnsi="仿宋" w:eastAsia="仿宋" w:cs="仿宋"/>
          <w:sz w:val="32"/>
          <w:szCs w:val="32"/>
          <w:lang w:val="en-US" w:eastAsia="zh-CN"/>
        </w:rPr>
        <w:t xml:space="preserve"> </w:t>
      </w:r>
    </w:p>
    <w:p w14:paraId="39D1E8D8">
      <w:pPr>
        <w:snapToGrid w:val="0"/>
        <w:spacing w:line="564" w:lineRule="exact"/>
        <w:ind w:firstLine="643" w:firstLineChars="200"/>
        <w:rPr>
          <w:rFonts w:hint="eastAsia" w:ascii="仿宋_GB2312" w:eastAsia="仿宋_GB2312"/>
          <w:b/>
          <w:bCs/>
          <w:sz w:val="32"/>
          <w:szCs w:val="32"/>
        </w:rPr>
      </w:pPr>
      <w:bookmarkStart w:id="0" w:name="_GoBack"/>
      <w:bookmarkEnd w:id="0"/>
    </w:p>
    <w:p w14:paraId="6BADCB7E">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实施交通基础设施建设，根据《国有土地上房屋征收与补偿条例》（国务院令第590号）等相关法律法规规定，青山区人民政府对和平大道（工人村路-四环线）工程房屋征收项目国有土地上的房屋实施征收。该项目经武汉市发展和改革委员会《市发展改革委关于和平大道（工人村路—四环线）工程可行性研究报告（代项目建议书）的批复》（武发改审批服务〔2023〕41号），已在武汉市自然资源和规划局办理《建设项目用地预审与选址意见书》（武自规用〔2021〕009号）。为依法实施房屋征收补偿工作，保障被征收人、公有房屋承租人的合法权益，现制定该项目征收补偿方案。</w:t>
      </w:r>
    </w:p>
    <w:p w14:paraId="51D0B986">
      <w:pPr>
        <w:snapToGrid w:val="0"/>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一、法律依据</w:t>
      </w:r>
    </w:p>
    <w:p w14:paraId="39BB5480">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（一）《国有土地上房屋征收与补偿条例》（中华人民共和国国务院令第590号）</w:t>
      </w:r>
    </w:p>
    <w:p w14:paraId="61E0BC45">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（二）《湖北省国有土地上房屋征收与补偿实施办法》（湖北省人民政府令第380号）</w:t>
      </w:r>
    </w:p>
    <w:p w14:paraId="2E69F399">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（三）《武汉市国有土地上房屋征收与补偿实施办法》（武汉市人民政府令第234号公布，第275号令修改，第312号令第二次修改）</w:t>
      </w:r>
    </w:p>
    <w:p w14:paraId="43596E0C">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（四）《市人民政府关于印发武汉市国有土地上房屋征收与补偿操作指引的通知》（武政规〔2023〕7号）</w:t>
      </w:r>
    </w:p>
    <w:p w14:paraId="4727BCEF">
      <w:pPr>
        <w:snapToGrid w:val="0"/>
        <w:spacing w:line="550" w:lineRule="exact"/>
        <w:ind w:firstLine="596" w:firstLineChars="200"/>
        <w:rPr>
          <w:rFonts w:hint="eastAsia" w:ascii="仿宋" w:hAnsi="仿宋" w:eastAsia="仿宋" w:cs="仿宋"/>
          <w:spacing w:val="-11"/>
          <w:sz w:val="32"/>
          <w:szCs w:val="32"/>
        </w:rPr>
      </w:pPr>
      <w:r>
        <w:rPr>
          <w:rFonts w:hint="eastAsia" w:ascii="仿宋" w:hAnsi="仿宋" w:eastAsia="仿宋" w:cs="仿宋"/>
          <w:spacing w:val="-11"/>
          <w:sz w:val="32"/>
          <w:szCs w:val="32"/>
        </w:rPr>
        <w:t>（五）《国有土地上房屋征收评估办法》（建房〔2011〕77号）</w:t>
      </w:r>
    </w:p>
    <w:p w14:paraId="19286F8F">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（六）其他相关法律法规</w:t>
      </w:r>
    </w:p>
    <w:p w14:paraId="654731AB">
      <w:pPr>
        <w:snapToGrid w:val="0"/>
        <w:spacing w:line="55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二、基本情况</w:t>
      </w:r>
    </w:p>
    <w:p w14:paraId="0265334C">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（一）项目名称</w:t>
      </w:r>
    </w:p>
    <w:p w14:paraId="42278321">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和平大道（工人村路-四环线）工程房屋征收项目。</w:t>
      </w:r>
    </w:p>
    <w:p w14:paraId="4BD26C44">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（二）征收目的</w:t>
      </w:r>
    </w:p>
    <w:p w14:paraId="750AC5C2">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实施交通基础设施建设。</w:t>
      </w:r>
    </w:p>
    <w:p w14:paraId="2E99C219">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（三）征收范围</w:t>
      </w:r>
    </w:p>
    <w:p w14:paraId="4020566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详见征收范围图。</w:t>
      </w:r>
    </w:p>
    <w:p w14:paraId="614897CF">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（四）调查概况</w:t>
      </w:r>
    </w:p>
    <w:p w14:paraId="37D1541D">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该项目占地面积约</w:t>
      </w:r>
      <w:r>
        <w:rPr>
          <w:rFonts w:hint="eastAsia" w:ascii="仿宋" w:hAnsi="仿宋" w:eastAsia="仿宋" w:cs="仿宋"/>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200720</w:t>
      </w:r>
      <w:r>
        <w:rPr>
          <w:rFonts w:hint="eastAsia" w:ascii="仿宋" w:hAnsi="仿宋" w:eastAsia="仿宋" w:cs="仿宋"/>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平方米（最终以实测为准），征收总户数约</w:t>
      </w:r>
      <w:r>
        <w:rPr>
          <w:rFonts w:hint="eastAsia" w:ascii="仿宋" w:hAnsi="仿宋" w:eastAsia="仿宋" w:cs="仿宋"/>
          <w:color w:val="FF0000"/>
          <w:sz w:val="32"/>
          <w:szCs w:val="32"/>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仿宋" w:hAnsi="仿宋" w:eastAsia="仿宋" w:cs="仿宋"/>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户</w:t>
      </w:r>
      <w:r>
        <w:rPr>
          <w:rFonts w:hint="eastAsia" w:ascii="仿宋" w:hAnsi="仿宋" w:eastAsia="仿宋" w:cs="仿宋"/>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，征收房屋建筑面积约</w:t>
      </w:r>
      <w:r>
        <w:rPr>
          <w:rFonts w:hint="eastAsia" w:ascii="仿宋" w:hAnsi="仿宋" w:eastAsia="仿宋" w:cs="仿宋"/>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131.70</w:t>
      </w:r>
      <w:r>
        <w:rPr>
          <w:rFonts w:hint="eastAsia" w:ascii="仿宋" w:hAnsi="仿宋" w:eastAsia="仿宋" w:cs="仿宋"/>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平方米（具体数</w:t>
      </w:r>
      <w:r>
        <w:rPr>
          <w:rFonts w:hint="eastAsia" w:ascii="仿宋" w:hAnsi="仿宋" w:eastAsia="仿宋" w:cs="仿宋"/>
          <w:sz w:val="32"/>
          <w:szCs w:val="32"/>
        </w:rPr>
        <w:t>据均以审计结果为准）。</w:t>
      </w:r>
    </w:p>
    <w:p w14:paraId="48A9E713">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（五）房屋征收部门</w:t>
      </w:r>
    </w:p>
    <w:p w14:paraId="6148CCCF">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武汉市青山区住房和城市更新局。</w:t>
      </w:r>
    </w:p>
    <w:p w14:paraId="52CD9D2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（六）房屋征收实施单位</w:t>
      </w:r>
    </w:p>
    <w:p w14:paraId="367CFAEF">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武汉市青山区人民政府工人村街道办事处。</w:t>
      </w:r>
    </w:p>
    <w:p w14:paraId="36E37845">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（七）被征收人和公有房屋承租人</w:t>
      </w:r>
    </w:p>
    <w:p w14:paraId="61A08443">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被征收人是指被征收房屋的所有权人。</w:t>
      </w:r>
    </w:p>
    <w:p w14:paraId="4156C999">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公有房屋承租人是指与公有房屋的产权人或者管理人建立租赁关系，并执行政府规定标准租金的直管公房和自管公房承租人，公共租赁住房、廉租住房的承租人除外。</w:t>
      </w:r>
    </w:p>
    <w:p w14:paraId="5E5E5682">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（八）被征收房屋建筑面积和房屋用途的认定</w:t>
      </w:r>
    </w:p>
    <w:p w14:paraId="0940B16A">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被征收房屋的建筑面积和房屋用途，以不动产登记机构颁发的房屋权属证书的记载为准；房屋权属证书未记载或者记载与房屋登记簿不一致的，除有证据证明房屋登记簿确有错误外，以房屋登记簿为准。</w:t>
      </w:r>
    </w:p>
    <w:p w14:paraId="5778BB78">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（九）评估时点</w:t>
      </w:r>
    </w:p>
    <w:p w14:paraId="37305F3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评估时点为房屋征收决定公告之日。</w:t>
      </w:r>
    </w:p>
    <w:p w14:paraId="4EFD71EE">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（十）征收签约期限  </w:t>
      </w:r>
    </w:p>
    <w:p w14:paraId="2C925B9B">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该项目征收签约期限为3个月，自被征收房屋评估结果公布之日起计算。</w:t>
      </w:r>
    </w:p>
    <w:p w14:paraId="5E7FA901">
      <w:pPr>
        <w:snapToGrid w:val="0"/>
        <w:spacing w:line="550" w:lineRule="exact"/>
        <w:ind w:firstLine="640" w:firstLineChars="200"/>
        <w:rPr>
          <w:rFonts w:hint="eastAsia" w:ascii="黑体" w:hAnsi="黑体" w:eastAsia="黑体" w:cs="黑体"/>
          <w:sz w:val="32"/>
        </w:rPr>
      </w:pPr>
      <w:r>
        <w:rPr>
          <w:rFonts w:hint="eastAsia" w:ascii="黑体" w:hAnsi="黑体" w:eastAsia="黑体" w:cs="黑体"/>
          <w:sz w:val="32"/>
        </w:rPr>
        <w:t>三、非住宅房屋的补偿</w:t>
      </w:r>
    </w:p>
    <w:p w14:paraId="2C6B911B">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（一）补偿方式和被征收房屋价值补偿</w:t>
      </w:r>
    </w:p>
    <w:p w14:paraId="079E6AB2">
      <w:pPr>
        <w:snapToGrid w:val="0"/>
        <w:spacing w:line="550" w:lineRule="exact"/>
        <w:ind w:firstLine="640" w:firstLineChars="200"/>
        <w:contextualSpacing/>
        <w:rPr>
          <w:rFonts w:hint="eastAsia" w:ascii="仿宋" w:hAnsi="仿宋" w:eastAsia="仿宋" w:cs="仿宋"/>
          <w:sz w:val="32"/>
        </w:rPr>
      </w:pPr>
      <w:r>
        <w:rPr>
          <w:rFonts w:hint="eastAsia" w:ascii="仿宋" w:hAnsi="仿宋" w:eastAsia="仿宋" w:cs="仿宋"/>
          <w:sz w:val="32"/>
        </w:rPr>
        <w:t>被征收人可以选择货币补偿，也可以选择房屋产权调换。</w:t>
      </w:r>
    </w:p>
    <w:p w14:paraId="07071CE8">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被征收房屋和产权调换房屋的价值由依法选定的房地产价格评估机构按照评估办法评估，并结合被征收房屋证载建筑面积和用途确定，评估时点为房屋征收决定公告之日。</w:t>
      </w:r>
    </w:p>
    <w:p w14:paraId="0029608D">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被征收房屋价值补偿费＝</w:t>
      </w:r>
      <w:r>
        <w:rPr>
          <w:rFonts w:hint="eastAsia" w:ascii="仿宋" w:hAnsi="仿宋" w:eastAsia="仿宋" w:cs="仿宋"/>
          <w:sz w:val="32"/>
          <w:szCs w:val="32"/>
        </w:rPr>
        <w:t>被征收房屋证载建筑面积×被征收房屋评估单价。</w:t>
      </w:r>
    </w:p>
    <w:p w14:paraId="07B450D1">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1.货币补偿：</w:t>
      </w:r>
    </w:p>
    <w:p w14:paraId="039C2103">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被征收人选择货币补偿的，房屋征收部门按被征收房屋价值向被征收人、公有房屋承租人支付货币补偿费。</w:t>
      </w:r>
    </w:p>
    <w:p w14:paraId="62237FE4">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2.房屋产权调换：</w:t>
      </w:r>
    </w:p>
    <w:p w14:paraId="1B4FB872">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（1）被征收人选择房屋产权调换的，由房屋征收部门提供用于产权调换的房屋，并与被征收人结算被征收房屋价值与产权调换房屋价值的差价。</w:t>
      </w:r>
    </w:p>
    <w:p w14:paraId="7E5410AD">
      <w:pPr>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rPr>
        <w:t>（2）非住宅</w:t>
      </w:r>
      <w:r>
        <w:rPr>
          <w:rFonts w:hint="eastAsia" w:ascii="仿宋" w:hAnsi="仿宋" w:eastAsia="仿宋" w:cs="仿宋"/>
          <w:sz w:val="32"/>
          <w:szCs w:val="32"/>
        </w:rPr>
        <w:t>产权调换房源：</w:t>
      </w:r>
    </w:p>
    <w:p w14:paraId="1087A1F9">
      <w:pPr>
        <w:spacing w:line="55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非住宅产权调换房源（办公）为南干渠项目(名称暂定)期房，交房标准为毛坯房。</w:t>
      </w:r>
    </w:p>
    <w:p w14:paraId="0AFDF93F">
      <w:pPr>
        <w:spacing w:line="55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rPr>
        <w:t>房屋征收部门根据征收工作实际需要，可提供其他房源。</w:t>
      </w:r>
    </w:p>
    <w:p w14:paraId="44305ACF">
      <w:pPr>
        <w:snapToGrid w:val="0"/>
        <w:spacing w:line="55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（二）直管、自管</w:t>
      </w:r>
      <w:r>
        <w:rPr>
          <w:rFonts w:hint="eastAsia" w:ascii="仿宋" w:hAnsi="仿宋" w:eastAsia="仿宋" w:cs="仿宋"/>
          <w:color w:val="000000"/>
          <w:sz w:val="32"/>
          <w:szCs w:val="32"/>
        </w:rPr>
        <w:t>公有非住宅</w:t>
      </w:r>
      <w:r>
        <w:rPr>
          <w:rFonts w:hint="eastAsia" w:ascii="仿宋" w:hAnsi="仿宋" w:eastAsia="仿宋" w:cs="仿宋"/>
          <w:sz w:val="32"/>
          <w:szCs w:val="32"/>
        </w:rPr>
        <w:t>房屋补偿</w:t>
      </w:r>
    </w:p>
    <w:p w14:paraId="5574B16B">
      <w:pPr>
        <w:snapToGrid w:val="0"/>
        <w:spacing w:line="550" w:lineRule="exact"/>
        <w:ind w:firstLine="640" w:firstLineChars="200"/>
        <w:contextualSpacing/>
        <w:rPr>
          <w:rStyle w:val="10"/>
          <w:rFonts w:hint="eastAsia" w:ascii="仿宋" w:hAnsi="仿宋" w:eastAsia="仿宋" w:cs="仿宋"/>
          <w:sz w:val="32"/>
          <w:szCs w:val="32"/>
          <w:shd w:val="clear" w:color="auto" w:fill="FFFFFF"/>
        </w:rPr>
      </w:pPr>
      <w:r>
        <w:rPr>
          <w:rStyle w:val="10"/>
          <w:rFonts w:hint="eastAsia" w:ascii="仿宋" w:hAnsi="仿宋" w:eastAsia="仿宋" w:cs="仿宋"/>
          <w:sz w:val="32"/>
          <w:szCs w:val="32"/>
          <w:shd w:val="clear" w:color="auto" w:fill="FFFFFF"/>
        </w:rPr>
        <w:t>被征收人选择货币补偿的，租赁关系终止，房屋征收部门对被征收人按被征收房屋价值补偿费的30％予以补偿，对公有房屋承租人按被征收房屋价值补偿费的70％予以补偿。</w:t>
      </w:r>
    </w:p>
    <w:p w14:paraId="72C3C132">
      <w:pPr>
        <w:snapToGrid w:val="0"/>
        <w:spacing w:line="550" w:lineRule="exact"/>
        <w:ind w:firstLine="640" w:firstLineChars="200"/>
        <w:contextualSpacing/>
        <w:rPr>
          <w:rStyle w:val="10"/>
          <w:rFonts w:hint="eastAsia" w:ascii="仿宋" w:hAnsi="仿宋" w:eastAsia="仿宋" w:cs="仿宋"/>
          <w:sz w:val="32"/>
          <w:szCs w:val="32"/>
          <w:shd w:val="clear" w:color="auto" w:fill="FFFFFF"/>
        </w:rPr>
      </w:pPr>
      <w:r>
        <w:rPr>
          <w:rStyle w:val="10"/>
          <w:rFonts w:hint="eastAsia" w:ascii="仿宋" w:hAnsi="仿宋" w:eastAsia="仿宋" w:cs="仿宋"/>
          <w:sz w:val="32"/>
          <w:szCs w:val="32"/>
          <w:shd w:val="clear" w:color="auto" w:fill="FFFFFF"/>
        </w:rPr>
        <w:t>被征收人选择房屋产权调换的，</w:t>
      </w:r>
      <w:r>
        <w:rPr>
          <w:rFonts w:hint="eastAsia" w:ascii="仿宋" w:hAnsi="仿宋" w:eastAsia="仿宋" w:cs="仿宋"/>
          <w:sz w:val="32"/>
          <w:szCs w:val="32"/>
        </w:rPr>
        <w:t>房屋征收部门与被征收人签订房屋产权调换协议，</w:t>
      </w:r>
      <w:r>
        <w:rPr>
          <w:rStyle w:val="10"/>
          <w:rFonts w:hint="eastAsia" w:ascii="仿宋" w:hAnsi="仿宋" w:eastAsia="仿宋" w:cs="仿宋"/>
          <w:sz w:val="32"/>
          <w:szCs w:val="32"/>
          <w:shd w:val="clear" w:color="auto" w:fill="FFFFFF"/>
        </w:rPr>
        <w:t>产权调换房屋由原公有房屋承租人承租，被征收人应与原公有房屋承租人重新订立房屋租赁合同。</w:t>
      </w:r>
    </w:p>
    <w:p w14:paraId="70818564">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（三）设备搬迁补偿</w:t>
      </w:r>
    </w:p>
    <w:p w14:paraId="708F0F62">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非住宅房屋可恢复使用的，设备搬迁补偿费参照同期市场价格，并经选定的房地产价格评估机构评估确定。选择产权调换的，按评估确定的搬迁补偿费双倍计算。</w:t>
      </w:r>
    </w:p>
    <w:p w14:paraId="0BBC7100">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对无法恢复使用的设备，按购置价扣除折旧后，由选定的房地产价格评估机构评估计算一次性费用。</w:t>
      </w:r>
    </w:p>
    <w:p w14:paraId="3E54929A">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（四）临时安置补偿</w:t>
      </w:r>
    </w:p>
    <w:p w14:paraId="60C2F00B">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征收办公用房及其他非生产经营性用房，选择房屋产权调换的，产权调换房屋交付前，房屋征收部门应当支付临时安置补偿费。选择货币补偿的，一次性支付被征收人或者公有房屋承租人3个月的临时安置补偿费。</w:t>
      </w:r>
    </w:p>
    <w:p w14:paraId="38C5CAA7">
      <w:pPr>
        <w:snapToGrid w:val="0"/>
        <w:spacing w:line="550" w:lineRule="exact"/>
        <w:ind w:firstLine="640" w:firstLineChars="200"/>
        <w:rPr>
          <w:rFonts w:hint="eastAsia" w:ascii="仿宋" w:hAnsi="仿宋" w:eastAsia="仿宋" w:cs="仿宋"/>
          <w:sz w:val="32"/>
          <w:shd w:val="pct10" w:color="auto" w:fill="FFFFFF"/>
        </w:rPr>
      </w:pPr>
      <w:r>
        <w:rPr>
          <w:rFonts w:hint="eastAsia" w:ascii="仿宋" w:hAnsi="仿宋" w:eastAsia="仿宋" w:cs="仿宋"/>
          <w:sz w:val="32"/>
        </w:rPr>
        <w:t>临时安置补偿费由选定的房地产价格评估机构按照被征收房屋类似房地产市场租赁价格评估确定，评估时点为房屋征收决定公告之日。</w:t>
      </w:r>
    </w:p>
    <w:p w14:paraId="788B7721">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（五）停产停业损失补偿</w:t>
      </w:r>
    </w:p>
    <w:p w14:paraId="7C649E16">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因征收生产经营性用房造成停产停业，对被征收人或者公有房屋承租人给予停产停业损失补偿，被征收房屋具有房屋权属证明或者经认定为合法建筑，且房屋用途为生产经营性用房，房屋征收部门给予被征收人或者公有房屋承租人被征收房屋价值5％的补偿。</w:t>
      </w:r>
    </w:p>
    <w:p w14:paraId="4A015418">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人或者公有房屋承租人认为其停产停业损失超过被征收房屋价值5％的，应向房屋征收部门提供房屋被征收前3年的效益情况等证明材料，由该项目选定的房地产价格评估机构对停产停业损失进行评估，并按评估结果予以补偿。选择货币补偿的，停产停业期限按照6个月计算,选择产权调换的，停产停业期限按照过渡安置期限计算。</w:t>
      </w:r>
    </w:p>
    <w:p w14:paraId="03F8B24C">
      <w:pPr>
        <w:numPr>
          <w:ilvl w:val="0"/>
          <w:numId w:val="1"/>
        </w:num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改变房屋用途的补助</w:t>
      </w:r>
    </w:p>
    <w:p w14:paraId="30B112D8">
      <w:pPr>
        <w:snapToGrid w:val="0"/>
        <w:spacing w:line="550" w:lineRule="exact"/>
        <w:ind w:firstLine="640" w:firstLineChars="200"/>
        <w:rPr>
          <w:rFonts w:hint="eastAsia" w:ascii="仿宋" w:hAnsi="仿宋" w:eastAsia="仿宋" w:cs="仿宋"/>
          <w:color w:val="FF0000"/>
          <w:sz w:val="32"/>
        </w:rPr>
      </w:pPr>
      <w:r>
        <w:rPr>
          <w:rFonts w:hint="eastAsia" w:ascii="仿宋" w:hAnsi="仿宋" w:eastAsia="仿宋" w:cs="仿宋"/>
          <w:sz w:val="32"/>
        </w:rPr>
        <w:t>在《武汉市国有土地上房屋征收与补偿实施办法》公布前（即2012年12月3日前），对被征收人、公有房屋承租人改变非住宅房屋用途已作为商业经营的一楼门面使用，且以该房屋为注册地址办理了工商营业执照的，除按照原房屋证载用途予以补偿之外，若改变用途部分房屋实际价值高于原房屋证载用途价值的，对其实际用于经营面积部分（具有相应资质的测绘单位实测确定），可以根据经营情况、经营年限及纳税等实际情况，按照两者价差的30%给予经营补助。</w:t>
      </w:r>
    </w:p>
    <w:p w14:paraId="6A8EEAC1">
      <w:pPr>
        <w:snapToGrid w:val="0"/>
        <w:spacing w:line="550" w:lineRule="exact"/>
        <w:ind w:firstLine="640" w:firstLineChars="200"/>
        <w:rPr>
          <w:rFonts w:hint="eastAsia" w:ascii="黑体" w:hAnsi="黑体" w:eastAsia="黑体" w:cs="黑体"/>
          <w:sz w:val="32"/>
        </w:rPr>
      </w:pPr>
      <w:r>
        <w:rPr>
          <w:rFonts w:hint="eastAsia" w:ascii="黑体" w:hAnsi="黑体" w:eastAsia="黑体" w:cs="黑体"/>
          <w:sz w:val="32"/>
        </w:rPr>
        <w:t>四、房屋附属设施补偿</w:t>
      </w:r>
    </w:p>
    <w:p w14:paraId="54F21046">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（一）室内装饰装修补偿：</w:t>
      </w:r>
    </w:p>
    <w:p w14:paraId="04FC670E">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被征收房屋室内自行装修的补偿，补偿费在400元/平方米以内（含400元/平方米）的，由房屋征收部门和被征收人、公有房屋承租人协商确定，协商不成或标准超过400元/平方米的，委托该项目依法选定的房地产价格评估机构评估确定。</w:t>
      </w:r>
    </w:p>
    <w:p w14:paraId="67E61B86">
      <w:pPr>
        <w:snapToGrid w:val="0"/>
        <w:spacing w:line="550" w:lineRule="exact"/>
        <w:ind w:firstLine="640" w:firstLineChars="200"/>
        <w:rPr>
          <w:rFonts w:hint="eastAsia" w:ascii="仿宋" w:hAnsi="仿宋" w:eastAsia="仿宋" w:cs="仿宋"/>
          <w:sz w:val="32"/>
        </w:rPr>
      </w:pPr>
      <w:r>
        <w:rPr>
          <w:rFonts w:hint="eastAsia" w:ascii="仿宋" w:hAnsi="仿宋" w:eastAsia="仿宋" w:cs="仿宋"/>
          <w:sz w:val="32"/>
        </w:rPr>
        <w:t>（二）自行封闭阳台和搭建的夹层、假层、暗楼、无烟灶台、吊脚楼、外挑等的补偿：</w:t>
      </w:r>
    </w:p>
    <w:p w14:paraId="52D6161E">
      <w:pPr>
        <w:spacing w:line="160" w:lineRule="exact"/>
        <w:rPr>
          <w:rFonts w:hint="eastAsia" w:ascii="仿宋" w:hAnsi="仿宋" w:eastAsia="仿宋" w:cs="仿宋"/>
          <w:sz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414"/>
        <w:gridCol w:w="2208"/>
        <w:gridCol w:w="2495"/>
      </w:tblGrid>
      <w:tr w14:paraId="2971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4096" w:type="dxa"/>
            <w:gridSpan w:val="2"/>
            <w:noWrap w:val="0"/>
            <w:vAlign w:val="center"/>
          </w:tcPr>
          <w:p w14:paraId="2013B7DD">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名 称</w:t>
            </w:r>
          </w:p>
        </w:tc>
        <w:tc>
          <w:tcPr>
            <w:tcW w:w="2208" w:type="dxa"/>
            <w:noWrap w:val="0"/>
            <w:vAlign w:val="center"/>
          </w:tcPr>
          <w:p w14:paraId="0746A663">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补偿标准</w:t>
            </w:r>
          </w:p>
        </w:tc>
        <w:tc>
          <w:tcPr>
            <w:tcW w:w="2495" w:type="dxa"/>
            <w:noWrap w:val="0"/>
            <w:vAlign w:val="center"/>
          </w:tcPr>
          <w:p w14:paraId="7FA50218">
            <w:pPr>
              <w:widowControl/>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标准说明</w:t>
            </w:r>
          </w:p>
        </w:tc>
      </w:tr>
      <w:tr w14:paraId="05BE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82" w:type="dxa"/>
            <w:vMerge w:val="restart"/>
            <w:noWrap w:val="0"/>
            <w:vAlign w:val="center"/>
          </w:tcPr>
          <w:p w14:paraId="71E2ABF7">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自行封闭阳台</w:t>
            </w:r>
          </w:p>
        </w:tc>
        <w:tc>
          <w:tcPr>
            <w:tcW w:w="2414" w:type="dxa"/>
            <w:noWrap w:val="0"/>
            <w:vAlign w:val="center"/>
          </w:tcPr>
          <w:p w14:paraId="70216966">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铝合金材料封闭</w:t>
            </w:r>
          </w:p>
        </w:tc>
        <w:tc>
          <w:tcPr>
            <w:tcW w:w="2208" w:type="dxa"/>
            <w:noWrap w:val="0"/>
            <w:vAlign w:val="center"/>
          </w:tcPr>
          <w:p w14:paraId="53A95A9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1000元/个</w:t>
            </w:r>
          </w:p>
        </w:tc>
        <w:tc>
          <w:tcPr>
            <w:tcW w:w="2495" w:type="dxa"/>
            <w:noWrap w:val="0"/>
            <w:vAlign w:val="center"/>
          </w:tcPr>
          <w:p w14:paraId="17607969">
            <w:pPr>
              <w:widowControl/>
              <w:spacing w:line="360" w:lineRule="exact"/>
              <w:rPr>
                <w:rFonts w:hint="eastAsia" w:ascii="仿宋" w:hAnsi="仿宋" w:eastAsia="仿宋" w:cs="仿宋"/>
                <w:kern w:val="0"/>
                <w:sz w:val="24"/>
              </w:rPr>
            </w:pPr>
          </w:p>
        </w:tc>
      </w:tr>
      <w:tr w14:paraId="0669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82" w:type="dxa"/>
            <w:vMerge w:val="continue"/>
            <w:noWrap w:val="0"/>
            <w:vAlign w:val="center"/>
          </w:tcPr>
          <w:p w14:paraId="56EE6CDE">
            <w:pPr>
              <w:widowControl/>
              <w:spacing w:line="360" w:lineRule="exact"/>
              <w:jc w:val="left"/>
              <w:rPr>
                <w:rFonts w:hint="eastAsia" w:ascii="仿宋" w:hAnsi="仿宋" w:eastAsia="仿宋" w:cs="仿宋"/>
                <w:kern w:val="0"/>
                <w:sz w:val="24"/>
              </w:rPr>
            </w:pPr>
          </w:p>
        </w:tc>
        <w:tc>
          <w:tcPr>
            <w:tcW w:w="2414" w:type="dxa"/>
            <w:noWrap w:val="0"/>
            <w:vAlign w:val="center"/>
          </w:tcPr>
          <w:p w14:paraId="76CDE3D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塑钢窗材料封闭</w:t>
            </w:r>
          </w:p>
        </w:tc>
        <w:tc>
          <w:tcPr>
            <w:tcW w:w="2208" w:type="dxa"/>
            <w:noWrap w:val="0"/>
            <w:vAlign w:val="center"/>
          </w:tcPr>
          <w:p w14:paraId="48430A3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1500元/个</w:t>
            </w:r>
          </w:p>
        </w:tc>
        <w:tc>
          <w:tcPr>
            <w:tcW w:w="2495" w:type="dxa"/>
            <w:noWrap w:val="0"/>
            <w:vAlign w:val="center"/>
          </w:tcPr>
          <w:p w14:paraId="0E183A39">
            <w:pPr>
              <w:widowControl/>
              <w:spacing w:line="360" w:lineRule="exact"/>
              <w:jc w:val="center"/>
              <w:rPr>
                <w:rFonts w:hint="eastAsia" w:ascii="仿宋" w:hAnsi="仿宋" w:eastAsia="仿宋" w:cs="仿宋"/>
                <w:kern w:val="0"/>
                <w:sz w:val="24"/>
              </w:rPr>
            </w:pPr>
          </w:p>
        </w:tc>
      </w:tr>
      <w:tr w14:paraId="63D5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82" w:type="dxa"/>
            <w:vMerge w:val="continue"/>
            <w:noWrap w:val="0"/>
            <w:vAlign w:val="center"/>
          </w:tcPr>
          <w:p w14:paraId="38CFB498">
            <w:pPr>
              <w:widowControl/>
              <w:spacing w:line="360" w:lineRule="exact"/>
              <w:jc w:val="left"/>
              <w:rPr>
                <w:rFonts w:hint="eastAsia" w:ascii="仿宋" w:hAnsi="仿宋" w:eastAsia="仿宋" w:cs="仿宋"/>
                <w:kern w:val="0"/>
                <w:sz w:val="24"/>
              </w:rPr>
            </w:pPr>
          </w:p>
        </w:tc>
        <w:tc>
          <w:tcPr>
            <w:tcW w:w="2414" w:type="dxa"/>
            <w:noWrap w:val="0"/>
            <w:vAlign w:val="center"/>
          </w:tcPr>
          <w:p w14:paraId="2B203C36">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木窗／铁窗材料封闭</w:t>
            </w:r>
          </w:p>
        </w:tc>
        <w:tc>
          <w:tcPr>
            <w:tcW w:w="2208" w:type="dxa"/>
            <w:noWrap w:val="0"/>
            <w:vAlign w:val="center"/>
          </w:tcPr>
          <w:p w14:paraId="65E35DB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700元/个</w:t>
            </w:r>
          </w:p>
        </w:tc>
        <w:tc>
          <w:tcPr>
            <w:tcW w:w="2495" w:type="dxa"/>
            <w:noWrap w:val="0"/>
            <w:vAlign w:val="center"/>
          </w:tcPr>
          <w:p w14:paraId="55657511">
            <w:pPr>
              <w:widowControl/>
              <w:spacing w:line="360" w:lineRule="exact"/>
              <w:jc w:val="center"/>
              <w:rPr>
                <w:rFonts w:hint="eastAsia" w:ascii="仿宋" w:hAnsi="仿宋" w:eastAsia="仿宋" w:cs="仿宋"/>
                <w:kern w:val="0"/>
                <w:sz w:val="24"/>
              </w:rPr>
            </w:pPr>
          </w:p>
        </w:tc>
      </w:tr>
      <w:tr w14:paraId="34C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82" w:type="dxa"/>
            <w:vMerge w:val="restart"/>
            <w:noWrap w:val="0"/>
            <w:vAlign w:val="center"/>
          </w:tcPr>
          <w:p w14:paraId="723EDF93">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夹层、假层、居住暗楼</w:t>
            </w:r>
          </w:p>
        </w:tc>
        <w:tc>
          <w:tcPr>
            <w:tcW w:w="2414" w:type="dxa"/>
            <w:noWrap w:val="0"/>
            <w:vAlign w:val="center"/>
          </w:tcPr>
          <w:p w14:paraId="002B9792">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工字钢、槽钢、角钢</w:t>
            </w:r>
          </w:p>
        </w:tc>
        <w:tc>
          <w:tcPr>
            <w:tcW w:w="2208" w:type="dxa"/>
            <w:noWrap w:val="0"/>
            <w:vAlign w:val="center"/>
          </w:tcPr>
          <w:p w14:paraId="5CC10FD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350元/平方米</w:t>
            </w:r>
          </w:p>
        </w:tc>
        <w:tc>
          <w:tcPr>
            <w:tcW w:w="2495" w:type="dxa"/>
            <w:vMerge w:val="restart"/>
            <w:noWrap w:val="0"/>
            <w:vAlign w:val="center"/>
          </w:tcPr>
          <w:p w14:paraId="5779B8F2">
            <w:pPr>
              <w:widowControl/>
              <w:spacing w:line="360" w:lineRule="exact"/>
              <w:rPr>
                <w:rFonts w:hint="eastAsia" w:ascii="仿宋" w:hAnsi="仿宋" w:eastAsia="仿宋" w:cs="仿宋"/>
                <w:kern w:val="0"/>
                <w:sz w:val="24"/>
              </w:rPr>
            </w:pPr>
            <w:r>
              <w:rPr>
                <w:rFonts w:hint="eastAsia" w:ascii="仿宋" w:hAnsi="仿宋" w:eastAsia="仿宋" w:cs="仿宋"/>
                <w:kern w:val="0"/>
                <w:sz w:val="24"/>
              </w:rPr>
              <w:t>层高＜1.5米，打7折。无固定楼梯、栏杆，打8折。面积由项目部确定，绘在房屋征收验收单上，项目部盖章。</w:t>
            </w:r>
          </w:p>
        </w:tc>
      </w:tr>
      <w:tr w14:paraId="17EE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82" w:type="dxa"/>
            <w:vMerge w:val="continue"/>
            <w:noWrap w:val="0"/>
            <w:vAlign w:val="center"/>
          </w:tcPr>
          <w:p w14:paraId="2EA9DC29">
            <w:pPr>
              <w:widowControl/>
              <w:spacing w:line="360" w:lineRule="exact"/>
              <w:jc w:val="left"/>
              <w:rPr>
                <w:rFonts w:hint="eastAsia" w:ascii="仿宋" w:hAnsi="仿宋" w:eastAsia="仿宋" w:cs="仿宋"/>
                <w:kern w:val="0"/>
                <w:sz w:val="24"/>
              </w:rPr>
            </w:pPr>
          </w:p>
        </w:tc>
        <w:tc>
          <w:tcPr>
            <w:tcW w:w="2414" w:type="dxa"/>
            <w:noWrap w:val="0"/>
            <w:vAlign w:val="center"/>
          </w:tcPr>
          <w:p w14:paraId="686CFFA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现浇楼板</w:t>
            </w:r>
          </w:p>
        </w:tc>
        <w:tc>
          <w:tcPr>
            <w:tcW w:w="2208" w:type="dxa"/>
            <w:noWrap w:val="0"/>
            <w:vAlign w:val="center"/>
          </w:tcPr>
          <w:p w14:paraId="723413A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400元/平方米</w:t>
            </w:r>
          </w:p>
        </w:tc>
        <w:tc>
          <w:tcPr>
            <w:tcW w:w="2495" w:type="dxa"/>
            <w:vMerge w:val="continue"/>
            <w:noWrap w:val="0"/>
            <w:vAlign w:val="center"/>
          </w:tcPr>
          <w:p w14:paraId="6D879171">
            <w:pPr>
              <w:widowControl/>
              <w:spacing w:line="360" w:lineRule="exact"/>
              <w:jc w:val="left"/>
              <w:rPr>
                <w:rFonts w:hint="eastAsia" w:ascii="仿宋" w:hAnsi="仿宋" w:eastAsia="仿宋" w:cs="仿宋"/>
                <w:kern w:val="0"/>
                <w:sz w:val="24"/>
              </w:rPr>
            </w:pPr>
          </w:p>
        </w:tc>
      </w:tr>
      <w:tr w14:paraId="35AF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82" w:type="dxa"/>
            <w:vMerge w:val="continue"/>
            <w:noWrap w:val="0"/>
            <w:vAlign w:val="center"/>
          </w:tcPr>
          <w:p w14:paraId="1BC8982B">
            <w:pPr>
              <w:widowControl/>
              <w:spacing w:line="360" w:lineRule="exact"/>
              <w:jc w:val="left"/>
              <w:rPr>
                <w:rFonts w:hint="eastAsia" w:ascii="仿宋" w:hAnsi="仿宋" w:eastAsia="仿宋" w:cs="仿宋"/>
                <w:kern w:val="0"/>
                <w:sz w:val="24"/>
              </w:rPr>
            </w:pPr>
          </w:p>
        </w:tc>
        <w:tc>
          <w:tcPr>
            <w:tcW w:w="2414" w:type="dxa"/>
            <w:noWrap w:val="0"/>
            <w:vAlign w:val="center"/>
          </w:tcPr>
          <w:p w14:paraId="71E2D2A8">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预制楼板</w:t>
            </w:r>
          </w:p>
        </w:tc>
        <w:tc>
          <w:tcPr>
            <w:tcW w:w="2208" w:type="dxa"/>
            <w:noWrap w:val="0"/>
            <w:vAlign w:val="center"/>
          </w:tcPr>
          <w:p w14:paraId="6328A716">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250元/平方米</w:t>
            </w:r>
          </w:p>
        </w:tc>
        <w:tc>
          <w:tcPr>
            <w:tcW w:w="2495" w:type="dxa"/>
            <w:vMerge w:val="continue"/>
            <w:noWrap w:val="0"/>
            <w:vAlign w:val="center"/>
          </w:tcPr>
          <w:p w14:paraId="0B79F84E">
            <w:pPr>
              <w:widowControl/>
              <w:spacing w:line="360" w:lineRule="exact"/>
              <w:jc w:val="left"/>
              <w:rPr>
                <w:rFonts w:hint="eastAsia" w:ascii="仿宋" w:hAnsi="仿宋" w:eastAsia="仿宋" w:cs="仿宋"/>
                <w:kern w:val="0"/>
                <w:sz w:val="24"/>
              </w:rPr>
            </w:pPr>
          </w:p>
        </w:tc>
      </w:tr>
      <w:tr w14:paraId="3D22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82" w:type="dxa"/>
            <w:vMerge w:val="continue"/>
            <w:noWrap w:val="0"/>
            <w:vAlign w:val="center"/>
          </w:tcPr>
          <w:p w14:paraId="5C1759A2">
            <w:pPr>
              <w:widowControl/>
              <w:spacing w:line="360" w:lineRule="exact"/>
              <w:jc w:val="left"/>
              <w:rPr>
                <w:rFonts w:hint="eastAsia" w:ascii="仿宋" w:hAnsi="仿宋" w:eastAsia="仿宋" w:cs="仿宋"/>
                <w:kern w:val="0"/>
                <w:sz w:val="24"/>
              </w:rPr>
            </w:pPr>
          </w:p>
        </w:tc>
        <w:tc>
          <w:tcPr>
            <w:tcW w:w="2414" w:type="dxa"/>
            <w:noWrap w:val="0"/>
            <w:vAlign w:val="center"/>
          </w:tcPr>
          <w:p w14:paraId="3405411A">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方木、圆木</w:t>
            </w:r>
          </w:p>
        </w:tc>
        <w:tc>
          <w:tcPr>
            <w:tcW w:w="2208" w:type="dxa"/>
            <w:noWrap w:val="0"/>
            <w:vAlign w:val="center"/>
          </w:tcPr>
          <w:p w14:paraId="0189570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200元/平方米</w:t>
            </w:r>
          </w:p>
        </w:tc>
        <w:tc>
          <w:tcPr>
            <w:tcW w:w="2495" w:type="dxa"/>
            <w:vMerge w:val="continue"/>
            <w:noWrap w:val="0"/>
            <w:vAlign w:val="center"/>
          </w:tcPr>
          <w:p w14:paraId="71EBCC75">
            <w:pPr>
              <w:widowControl/>
              <w:spacing w:line="360" w:lineRule="exact"/>
              <w:jc w:val="left"/>
              <w:rPr>
                <w:rFonts w:hint="eastAsia" w:ascii="仿宋" w:hAnsi="仿宋" w:eastAsia="仿宋" w:cs="仿宋"/>
                <w:kern w:val="0"/>
                <w:sz w:val="24"/>
              </w:rPr>
            </w:pPr>
          </w:p>
        </w:tc>
      </w:tr>
      <w:tr w14:paraId="1F5B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82" w:type="dxa"/>
            <w:noWrap w:val="0"/>
            <w:vAlign w:val="center"/>
          </w:tcPr>
          <w:p w14:paraId="31668DE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非居住暗楼</w:t>
            </w:r>
          </w:p>
        </w:tc>
        <w:tc>
          <w:tcPr>
            <w:tcW w:w="2414" w:type="dxa"/>
            <w:noWrap w:val="0"/>
            <w:vAlign w:val="center"/>
          </w:tcPr>
          <w:p w14:paraId="7DA6B85B">
            <w:pPr>
              <w:widowControl/>
              <w:spacing w:line="360" w:lineRule="exact"/>
              <w:jc w:val="center"/>
              <w:rPr>
                <w:rFonts w:hint="eastAsia" w:ascii="仿宋" w:hAnsi="仿宋" w:eastAsia="仿宋" w:cs="仿宋"/>
                <w:kern w:val="0"/>
                <w:sz w:val="24"/>
              </w:rPr>
            </w:pPr>
          </w:p>
        </w:tc>
        <w:tc>
          <w:tcPr>
            <w:tcW w:w="2208" w:type="dxa"/>
            <w:noWrap w:val="0"/>
            <w:vAlign w:val="center"/>
          </w:tcPr>
          <w:p w14:paraId="1FB5709F">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200-400元/个</w:t>
            </w:r>
          </w:p>
        </w:tc>
        <w:tc>
          <w:tcPr>
            <w:tcW w:w="2495" w:type="dxa"/>
            <w:noWrap w:val="0"/>
            <w:vAlign w:val="center"/>
          </w:tcPr>
          <w:p w14:paraId="420E185B">
            <w:pPr>
              <w:widowControl/>
              <w:spacing w:line="360" w:lineRule="exact"/>
              <w:jc w:val="center"/>
              <w:rPr>
                <w:rFonts w:hint="eastAsia" w:ascii="仿宋" w:hAnsi="仿宋" w:eastAsia="仿宋" w:cs="仿宋"/>
                <w:kern w:val="0"/>
                <w:sz w:val="24"/>
              </w:rPr>
            </w:pPr>
          </w:p>
        </w:tc>
      </w:tr>
      <w:tr w14:paraId="5726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82" w:type="dxa"/>
            <w:vMerge w:val="restart"/>
            <w:noWrap w:val="0"/>
            <w:vAlign w:val="center"/>
          </w:tcPr>
          <w:p w14:paraId="1CEB82A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无烟灶台</w:t>
            </w:r>
          </w:p>
        </w:tc>
        <w:tc>
          <w:tcPr>
            <w:tcW w:w="2414" w:type="dxa"/>
            <w:noWrap w:val="0"/>
            <w:vAlign w:val="center"/>
          </w:tcPr>
          <w:p w14:paraId="5A7BEFEA">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自行搭建</w:t>
            </w:r>
          </w:p>
        </w:tc>
        <w:tc>
          <w:tcPr>
            <w:tcW w:w="2208" w:type="dxa"/>
            <w:noWrap w:val="0"/>
            <w:vAlign w:val="center"/>
          </w:tcPr>
          <w:p w14:paraId="310E6DFF">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600元/个</w:t>
            </w:r>
          </w:p>
        </w:tc>
        <w:tc>
          <w:tcPr>
            <w:tcW w:w="2495" w:type="dxa"/>
            <w:noWrap w:val="0"/>
            <w:vAlign w:val="center"/>
          </w:tcPr>
          <w:p w14:paraId="4F45A8C1">
            <w:pPr>
              <w:widowControl/>
              <w:spacing w:line="360" w:lineRule="exact"/>
              <w:jc w:val="center"/>
              <w:rPr>
                <w:rFonts w:hint="eastAsia" w:ascii="仿宋" w:hAnsi="仿宋" w:eastAsia="仿宋" w:cs="仿宋"/>
                <w:kern w:val="0"/>
                <w:sz w:val="24"/>
              </w:rPr>
            </w:pPr>
          </w:p>
        </w:tc>
      </w:tr>
      <w:tr w14:paraId="218B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682" w:type="dxa"/>
            <w:vMerge w:val="continue"/>
            <w:noWrap w:val="0"/>
            <w:vAlign w:val="center"/>
          </w:tcPr>
          <w:p w14:paraId="7331AED9">
            <w:pPr>
              <w:widowControl/>
              <w:spacing w:line="360" w:lineRule="exact"/>
              <w:jc w:val="left"/>
              <w:rPr>
                <w:rFonts w:hint="eastAsia" w:ascii="仿宋" w:hAnsi="仿宋" w:eastAsia="仿宋" w:cs="仿宋"/>
                <w:kern w:val="0"/>
                <w:sz w:val="24"/>
              </w:rPr>
            </w:pPr>
          </w:p>
        </w:tc>
        <w:tc>
          <w:tcPr>
            <w:tcW w:w="2414" w:type="dxa"/>
            <w:noWrap w:val="0"/>
            <w:vAlign w:val="center"/>
          </w:tcPr>
          <w:p w14:paraId="038ED4B5">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整体安装</w:t>
            </w:r>
          </w:p>
        </w:tc>
        <w:tc>
          <w:tcPr>
            <w:tcW w:w="2208" w:type="dxa"/>
            <w:noWrap w:val="0"/>
            <w:vAlign w:val="center"/>
          </w:tcPr>
          <w:p w14:paraId="3DE1279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800元/个</w:t>
            </w:r>
          </w:p>
        </w:tc>
        <w:tc>
          <w:tcPr>
            <w:tcW w:w="2495" w:type="dxa"/>
            <w:noWrap w:val="0"/>
            <w:vAlign w:val="center"/>
          </w:tcPr>
          <w:p w14:paraId="4A417CFE">
            <w:pPr>
              <w:widowControl/>
              <w:spacing w:line="360" w:lineRule="exact"/>
              <w:jc w:val="center"/>
              <w:rPr>
                <w:rFonts w:hint="eastAsia" w:ascii="仿宋" w:hAnsi="仿宋" w:eastAsia="仿宋" w:cs="仿宋"/>
                <w:kern w:val="0"/>
                <w:sz w:val="24"/>
              </w:rPr>
            </w:pPr>
          </w:p>
        </w:tc>
      </w:tr>
      <w:tr w14:paraId="78E2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82" w:type="dxa"/>
            <w:vMerge w:val="restart"/>
            <w:noWrap w:val="0"/>
            <w:vAlign w:val="center"/>
          </w:tcPr>
          <w:p w14:paraId="7A538344">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防盗网</w:t>
            </w:r>
          </w:p>
        </w:tc>
        <w:tc>
          <w:tcPr>
            <w:tcW w:w="2414" w:type="dxa"/>
            <w:noWrap w:val="0"/>
            <w:vAlign w:val="center"/>
          </w:tcPr>
          <w:p w14:paraId="0E003302">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钢铁材质</w:t>
            </w:r>
          </w:p>
        </w:tc>
        <w:tc>
          <w:tcPr>
            <w:tcW w:w="2208" w:type="dxa"/>
            <w:noWrap w:val="0"/>
            <w:vAlign w:val="center"/>
          </w:tcPr>
          <w:p w14:paraId="43F14D7C">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100元/平方米</w:t>
            </w:r>
          </w:p>
        </w:tc>
        <w:tc>
          <w:tcPr>
            <w:tcW w:w="2495" w:type="dxa"/>
            <w:vMerge w:val="restart"/>
            <w:noWrap w:val="0"/>
            <w:vAlign w:val="center"/>
          </w:tcPr>
          <w:p w14:paraId="29CE4571">
            <w:pPr>
              <w:widowControl/>
              <w:spacing w:line="360" w:lineRule="exact"/>
              <w:rPr>
                <w:rFonts w:hint="eastAsia" w:ascii="仿宋" w:hAnsi="仿宋" w:eastAsia="仿宋" w:cs="仿宋"/>
                <w:kern w:val="0"/>
                <w:sz w:val="24"/>
              </w:rPr>
            </w:pPr>
            <w:r>
              <w:rPr>
                <w:rFonts w:hint="eastAsia" w:ascii="仿宋" w:hAnsi="仿宋" w:eastAsia="仿宋" w:cs="仿宋"/>
                <w:kern w:val="0"/>
                <w:sz w:val="24"/>
              </w:rPr>
              <w:t>按展开面积计算，面积由项目部确定，绘在房屋征收验收单上，项目部盖章。</w:t>
            </w:r>
          </w:p>
        </w:tc>
      </w:tr>
      <w:tr w14:paraId="339C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682" w:type="dxa"/>
            <w:vMerge w:val="continue"/>
            <w:noWrap w:val="0"/>
            <w:vAlign w:val="center"/>
          </w:tcPr>
          <w:p w14:paraId="4F1FD70B">
            <w:pPr>
              <w:widowControl/>
              <w:spacing w:line="360" w:lineRule="exact"/>
              <w:jc w:val="left"/>
              <w:rPr>
                <w:rFonts w:hint="eastAsia" w:ascii="仿宋" w:hAnsi="仿宋" w:eastAsia="仿宋" w:cs="仿宋"/>
                <w:kern w:val="0"/>
                <w:sz w:val="24"/>
                <w:u w:val="single"/>
              </w:rPr>
            </w:pPr>
          </w:p>
        </w:tc>
        <w:tc>
          <w:tcPr>
            <w:tcW w:w="2414" w:type="dxa"/>
            <w:noWrap w:val="0"/>
            <w:vAlign w:val="center"/>
          </w:tcPr>
          <w:p w14:paraId="461A28D3">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不锈钢材质</w:t>
            </w:r>
          </w:p>
        </w:tc>
        <w:tc>
          <w:tcPr>
            <w:tcW w:w="2208" w:type="dxa"/>
            <w:noWrap w:val="0"/>
            <w:vAlign w:val="center"/>
          </w:tcPr>
          <w:p w14:paraId="41D3F08A">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180元/平方米</w:t>
            </w:r>
          </w:p>
        </w:tc>
        <w:tc>
          <w:tcPr>
            <w:tcW w:w="2495" w:type="dxa"/>
            <w:vMerge w:val="continue"/>
            <w:noWrap w:val="0"/>
            <w:vAlign w:val="center"/>
          </w:tcPr>
          <w:p w14:paraId="16A8EF27">
            <w:pPr>
              <w:widowControl/>
              <w:spacing w:line="360" w:lineRule="exact"/>
              <w:jc w:val="center"/>
              <w:rPr>
                <w:rFonts w:hint="eastAsia" w:ascii="仿宋" w:hAnsi="仿宋" w:eastAsia="仿宋" w:cs="仿宋"/>
                <w:kern w:val="0"/>
                <w:sz w:val="24"/>
                <w:u w:val="single"/>
              </w:rPr>
            </w:pPr>
          </w:p>
        </w:tc>
      </w:tr>
      <w:tr w14:paraId="5A7F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82" w:type="dxa"/>
            <w:noWrap w:val="0"/>
            <w:vAlign w:val="center"/>
          </w:tcPr>
          <w:p w14:paraId="77FF7E9E">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吊脚楼</w:t>
            </w:r>
          </w:p>
        </w:tc>
        <w:tc>
          <w:tcPr>
            <w:tcW w:w="2414" w:type="dxa"/>
            <w:noWrap w:val="0"/>
            <w:vAlign w:val="center"/>
          </w:tcPr>
          <w:p w14:paraId="3ED4B98F">
            <w:pPr>
              <w:widowControl/>
              <w:spacing w:line="360" w:lineRule="exact"/>
              <w:jc w:val="center"/>
              <w:rPr>
                <w:rFonts w:hint="eastAsia" w:ascii="仿宋" w:hAnsi="仿宋" w:eastAsia="仿宋" w:cs="仿宋"/>
                <w:kern w:val="0"/>
                <w:sz w:val="24"/>
              </w:rPr>
            </w:pPr>
          </w:p>
        </w:tc>
        <w:tc>
          <w:tcPr>
            <w:tcW w:w="2208" w:type="dxa"/>
            <w:noWrap w:val="0"/>
            <w:vAlign w:val="center"/>
          </w:tcPr>
          <w:p w14:paraId="2CDB8BC4">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1200元/个</w:t>
            </w:r>
          </w:p>
        </w:tc>
        <w:tc>
          <w:tcPr>
            <w:tcW w:w="2495" w:type="dxa"/>
            <w:noWrap w:val="0"/>
            <w:vAlign w:val="center"/>
          </w:tcPr>
          <w:p w14:paraId="25C7F2FC">
            <w:pPr>
              <w:widowControl/>
              <w:spacing w:line="360" w:lineRule="exact"/>
              <w:jc w:val="center"/>
              <w:rPr>
                <w:rFonts w:hint="eastAsia" w:ascii="仿宋" w:hAnsi="仿宋" w:eastAsia="仿宋" w:cs="仿宋"/>
                <w:kern w:val="0"/>
                <w:sz w:val="24"/>
              </w:rPr>
            </w:pPr>
          </w:p>
        </w:tc>
      </w:tr>
      <w:tr w14:paraId="5C5C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82" w:type="dxa"/>
            <w:noWrap w:val="0"/>
            <w:vAlign w:val="center"/>
          </w:tcPr>
          <w:p w14:paraId="08A273D9">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外挑</w:t>
            </w:r>
          </w:p>
        </w:tc>
        <w:tc>
          <w:tcPr>
            <w:tcW w:w="2414" w:type="dxa"/>
            <w:noWrap w:val="0"/>
            <w:vAlign w:val="center"/>
          </w:tcPr>
          <w:p w14:paraId="625EBC88">
            <w:pPr>
              <w:widowControl/>
              <w:spacing w:line="360" w:lineRule="exact"/>
              <w:jc w:val="center"/>
              <w:rPr>
                <w:rFonts w:hint="eastAsia" w:ascii="仿宋" w:hAnsi="仿宋" w:eastAsia="仿宋" w:cs="仿宋"/>
                <w:kern w:val="0"/>
                <w:sz w:val="24"/>
              </w:rPr>
            </w:pPr>
          </w:p>
        </w:tc>
        <w:tc>
          <w:tcPr>
            <w:tcW w:w="2208" w:type="dxa"/>
            <w:noWrap w:val="0"/>
            <w:vAlign w:val="center"/>
          </w:tcPr>
          <w:p w14:paraId="789730CD">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800元/个</w:t>
            </w:r>
          </w:p>
        </w:tc>
        <w:tc>
          <w:tcPr>
            <w:tcW w:w="2495" w:type="dxa"/>
            <w:noWrap w:val="0"/>
            <w:vAlign w:val="center"/>
          </w:tcPr>
          <w:p w14:paraId="1E8BD0F4">
            <w:pPr>
              <w:widowControl/>
              <w:spacing w:line="360" w:lineRule="exact"/>
              <w:jc w:val="center"/>
              <w:rPr>
                <w:rFonts w:hint="eastAsia" w:ascii="仿宋" w:hAnsi="仿宋" w:eastAsia="仿宋" w:cs="仿宋"/>
                <w:kern w:val="0"/>
                <w:sz w:val="24"/>
              </w:rPr>
            </w:pPr>
          </w:p>
        </w:tc>
      </w:tr>
      <w:tr w14:paraId="63FE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2" w:type="dxa"/>
            <w:vMerge w:val="restart"/>
            <w:noWrap w:val="0"/>
            <w:vAlign w:val="center"/>
          </w:tcPr>
          <w:p w14:paraId="21CACF69">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棚子</w:t>
            </w:r>
          </w:p>
        </w:tc>
        <w:tc>
          <w:tcPr>
            <w:tcW w:w="2414" w:type="dxa"/>
            <w:noWrap w:val="0"/>
            <w:vAlign w:val="center"/>
          </w:tcPr>
          <w:p w14:paraId="7F899982">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钢材结构</w:t>
            </w:r>
          </w:p>
        </w:tc>
        <w:tc>
          <w:tcPr>
            <w:tcW w:w="2208" w:type="dxa"/>
            <w:noWrap w:val="0"/>
            <w:vAlign w:val="center"/>
          </w:tcPr>
          <w:p w14:paraId="7BA669C1">
            <w:pPr>
              <w:widowControl/>
              <w:spacing w:line="360" w:lineRule="exact"/>
              <w:jc w:val="center"/>
              <w:rPr>
                <w:rFonts w:hint="eastAsia" w:ascii="仿宋" w:hAnsi="仿宋" w:eastAsia="仿宋" w:cs="仿宋"/>
                <w:kern w:val="0"/>
                <w:sz w:val="24"/>
              </w:rPr>
            </w:pPr>
            <w:r>
              <w:rPr>
                <w:rFonts w:hint="eastAsia" w:ascii="仿宋" w:hAnsi="仿宋" w:eastAsia="仿宋" w:cs="仿宋"/>
                <w:kern w:val="0"/>
                <w:sz w:val="24"/>
              </w:rPr>
              <w:t>120元/平方米</w:t>
            </w:r>
          </w:p>
        </w:tc>
        <w:tc>
          <w:tcPr>
            <w:tcW w:w="2495" w:type="dxa"/>
            <w:vMerge w:val="restart"/>
            <w:noWrap w:val="0"/>
            <w:vAlign w:val="center"/>
          </w:tcPr>
          <w:p w14:paraId="21C73CCE">
            <w:pPr>
              <w:widowControl/>
              <w:spacing w:line="360" w:lineRule="exact"/>
              <w:jc w:val="left"/>
              <w:rPr>
                <w:rFonts w:hint="eastAsia" w:ascii="仿宋" w:hAnsi="仿宋" w:eastAsia="仿宋" w:cs="仿宋"/>
                <w:kern w:val="0"/>
                <w:sz w:val="24"/>
              </w:rPr>
            </w:pPr>
            <w:r>
              <w:rPr>
                <w:rFonts w:hint="eastAsia" w:ascii="仿宋" w:hAnsi="仿宋" w:eastAsia="仿宋" w:cs="仿宋"/>
                <w:kern w:val="0"/>
                <w:sz w:val="24"/>
              </w:rPr>
              <w:t>面积由具有相应资质的测绘单位测绘确定。</w:t>
            </w:r>
          </w:p>
        </w:tc>
      </w:tr>
      <w:tr w14:paraId="77AE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82" w:type="dxa"/>
            <w:vMerge w:val="continue"/>
            <w:noWrap w:val="0"/>
            <w:vAlign w:val="center"/>
          </w:tcPr>
          <w:p w14:paraId="1F08FA88">
            <w:pPr>
              <w:widowControl/>
              <w:jc w:val="left"/>
              <w:rPr>
                <w:rFonts w:hint="eastAsia" w:ascii="仿宋" w:hAnsi="仿宋" w:eastAsia="仿宋" w:cs="仿宋"/>
                <w:kern w:val="0"/>
                <w:sz w:val="24"/>
              </w:rPr>
            </w:pPr>
          </w:p>
        </w:tc>
        <w:tc>
          <w:tcPr>
            <w:tcW w:w="2414" w:type="dxa"/>
            <w:noWrap w:val="0"/>
            <w:vAlign w:val="center"/>
          </w:tcPr>
          <w:p w14:paraId="257CE04A">
            <w:pPr>
              <w:widowControl/>
              <w:jc w:val="center"/>
              <w:rPr>
                <w:rFonts w:hint="eastAsia" w:ascii="仿宋" w:hAnsi="仿宋" w:eastAsia="仿宋" w:cs="仿宋"/>
                <w:kern w:val="0"/>
                <w:sz w:val="24"/>
              </w:rPr>
            </w:pPr>
            <w:r>
              <w:rPr>
                <w:rFonts w:hint="eastAsia" w:ascii="仿宋" w:hAnsi="仿宋" w:eastAsia="仿宋" w:cs="仿宋"/>
                <w:kern w:val="0"/>
                <w:sz w:val="24"/>
              </w:rPr>
              <w:t>其他结构</w:t>
            </w:r>
          </w:p>
        </w:tc>
        <w:tc>
          <w:tcPr>
            <w:tcW w:w="2208" w:type="dxa"/>
            <w:noWrap w:val="0"/>
            <w:vAlign w:val="center"/>
          </w:tcPr>
          <w:p w14:paraId="10530C80">
            <w:pPr>
              <w:widowControl/>
              <w:jc w:val="center"/>
              <w:rPr>
                <w:rFonts w:hint="eastAsia" w:ascii="仿宋" w:hAnsi="仿宋" w:eastAsia="仿宋" w:cs="仿宋"/>
                <w:kern w:val="0"/>
                <w:sz w:val="24"/>
              </w:rPr>
            </w:pPr>
            <w:r>
              <w:rPr>
                <w:rFonts w:hint="eastAsia" w:ascii="仿宋" w:hAnsi="仿宋" w:eastAsia="仿宋" w:cs="仿宋"/>
                <w:kern w:val="0"/>
                <w:sz w:val="24"/>
              </w:rPr>
              <w:t>80元/平方米</w:t>
            </w:r>
          </w:p>
        </w:tc>
        <w:tc>
          <w:tcPr>
            <w:tcW w:w="2495" w:type="dxa"/>
            <w:vMerge w:val="continue"/>
            <w:noWrap w:val="0"/>
            <w:vAlign w:val="center"/>
          </w:tcPr>
          <w:p w14:paraId="1097E6D8">
            <w:pPr>
              <w:widowControl/>
              <w:jc w:val="left"/>
              <w:rPr>
                <w:rFonts w:hint="eastAsia" w:ascii="仿宋" w:hAnsi="仿宋" w:eastAsia="仿宋" w:cs="仿宋"/>
                <w:kern w:val="0"/>
                <w:sz w:val="24"/>
              </w:rPr>
            </w:pPr>
          </w:p>
        </w:tc>
      </w:tr>
    </w:tbl>
    <w:p w14:paraId="2AE46537">
      <w:pPr>
        <w:spacing w:line="564" w:lineRule="exact"/>
        <w:ind w:firstLine="640" w:firstLineChars="200"/>
        <w:rPr>
          <w:rFonts w:hint="eastAsia" w:ascii="仿宋" w:hAnsi="仿宋" w:eastAsia="仿宋" w:cs="仿宋"/>
          <w:sz w:val="32"/>
        </w:rPr>
      </w:pPr>
      <w:r>
        <w:rPr>
          <w:rFonts w:hint="eastAsia" w:ascii="仿宋" w:hAnsi="仿宋" w:eastAsia="仿宋" w:cs="仿宋"/>
          <w:sz w:val="32"/>
        </w:rPr>
        <w:t>被征收人、公有房屋承租人不同意按照上述标准补偿的，由该项目选定的房地产价格评估机构评估确定。</w:t>
      </w:r>
    </w:p>
    <w:p w14:paraId="552A9FC6">
      <w:pPr>
        <w:spacing w:line="564" w:lineRule="exact"/>
        <w:ind w:firstLine="640" w:firstLineChars="200"/>
        <w:rPr>
          <w:rFonts w:hint="eastAsia" w:ascii="仿宋" w:hAnsi="仿宋" w:eastAsia="仿宋" w:cs="仿宋"/>
          <w:sz w:val="32"/>
        </w:rPr>
      </w:pPr>
      <w:r>
        <w:rPr>
          <w:rFonts w:hint="eastAsia" w:ascii="仿宋" w:hAnsi="仿宋" w:eastAsia="仿宋" w:cs="仿宋"/>
          <w:sz w:val="32"/>
        </w:rPr>
        <w:t>（三）附属物的补偿：</w:t>
      </w:r>
    </w:p>
    <w:p w14:paraId="2720A53D">
      <w:pPr>
        <w:spacing w:line="564" w:lineRule="exact"/>
        <w:ind w:firstLine="640" w:firstLineChars="200"/>
        <w:rPr>
          <w:rFonts w:hint="eastAsia" w:ascii="仿宋" w:hAnsi="仿宋" w:eastAsia="仿宋" w:cs="仿宋"/>
          <w:sz w:val="32"/>
        </w:rPr>
      </w:pPr>
      <w:r>
        <w:rPr>
          <w:rFonts w:hint="eastAsia" w:ascii="仿宋" w:hAnsi="仿宋" w:eastAsia="仿宋" w:cs="仿宋"/>
          <w:sz w:val="32"/>
        </w:rPr>
        <w:t>附属物的征收补偿由选定的房地产价格评估机构评估确定。</w:t>
      </w:r>
    </w:p>
    <w:p w14:paraId="744AEED9">
      <w:pPr>
        <w:spacing w:line="564" w:lineRule="exact"/>
        <w:ind w:firstLine="640" w:firstLineChars="200"/>
        <w:rPr>
          <w:rFonts w:hint="eastAsia" w:ascii="仿宋" w:hAnsi="仿宋" w:eastAsia="仿宋" w:cs="仿宋"/>
          <w:sz w:val="32"/>
        </w:rPr>
      </w:pPr>
      <w:r>
        <w:rPr>
          <w:rFonts w:hint="eastAsia" w:ascii="仿宋" w:hAnsi="仿宋" w:eastAsia="仿宋" w:cs="仿宋"/>
          <w:sz w:val="32"/>
        </w:rPr>
        <w:t>（四）附属设施的补偿：</w:t>
      </w:r>
    </w:p>
    <w:p w14:paraId="03573062">
      <w:pPr>
        <w:spacing w:line="564" w:lineRule="exact"/>
        <w:ind w:firstLine="640" w:firstLineChars="200"/>
        <w:rPr>
          <w:rFonts w:hint="eastAsia" w:ascii="仿宋" w:hAnsi="仿宋" w:eastAsia="仿宋" w:cs="仿宋"/>
          <w:sz w:val="32"/>
        </w:rPr>
      </w:pPr>
      <w:r>
        <w:rPr>
          <w:rFonts w:hint="eastAsia" w:ascii="仿宋" w:hAnsi="仿宋" w:eastAsia="仿宋" w:cs="仿宋"/>
          <w:sz w:val="32"/>
        </w:rPr>
        <w:t>1.电话移机费：每部216元；</w:t>
      </w:r>
    </w:p>
    <w:p w14:paraId="667B5ED0">
      <w:pPr>
        <w:spacing w:line="564" w:lineRule="exact"/>
        <w:ind w:firstLine="640" w:firstLineChars="200"/>
        <w:rPr>
          <w:rFonts w:hint="eastAsia" w:ascii="仿宋" w:hAnsi="仿宋" w:eastAsia="仿宋" w:cs="仿宋"/>
          <w:sz w:val="32"/>
        </w:rPr>
      </w:pPr>
      <w:r>
        <w:rPr>
          <w:rFonts w:hint="eastAsia" w:ascii="仿宋" w:hAnsi="仿宋" w:eastAsia="仿宋" w:cs="仿宋"/>
          <w:sz w:val="32"/>
        </w:rPr>
        <w:t>2.有线电视复装费：每户380元；</w:t>
      </w:r>
    </w:p>
    <w:p w14:paraId="67677989">
      <w:pPr>
        <w:spacing w:line="564" w:lineRule="exact"/>
        <w:ind w:firstLine="640" w:firstLineChars="200"/>
        <w:rPr>
          <w:rFonts w:hint="eastAsia" w:ascii="仿宋" w:hAnsi="仿宋" w:eastAsia="仿宋" w:cs="仿宋"/>
          <w:sz w:val="32"/>
        </w:rPr>
      </w:pPr>
      <w:r>
        <w:rPr>
          <w:rFonts w:hint="eastAsia" w:ascii="仿宋" w:hAnsi="仿宋" w:eastAsia="仿宋" w:cs="仿宋"/>
          <w:sz w:val="32"/>
        </w:rPr>
        <w:t>3.宽带上网：凭报装单据补偿每户308元；</w:t>
      </w:r>
    </w:p>
    <w:p w14:paraId="1A8FCC96">
      <w:pPr>
        <w:spacing w:line="564" w:lineRule="exact"/>
        <w:ind w:firstLine="640" w:firstLineChars="200"/>
        <w:rPr>
          <w:rFonts w:hint="eastAsia" w:ascii="仿宋" w:hAnsi="仿宋" w:eastAsia="仿宋" w:cs="仿宋"/>
          <w:sz w:val="32"/>
        </w:rPr>
      </w:pPr>
      <w:r>
        <w:rPr>
          <w:rFonts w:hint="eastAsia" w:ascii="仿宋" w:hAnsi="仿宋" w:eastAsia="仿宋" w:cs="仿宋"/>
          <w:sz w:val="32"/>
        </w:rPr>
        <w:t>4.电热水器、燃气热水器移机费：每台200元；</w:t>
      </w:r>
    </w:p>
    <w:p w14:paraId="2653B3B6">
      <w:pPr>
        <w:spacing w:line="564" w:lineRule="exact"/>
        <w:ind w:firstLine="640" w:firstLineChars="200"/>
        <w:rPr>
          <w:rFonts w:hint="eastAsia" w:ascii="仿宋" w:hAnsi="仿宋" w:eastAsia="仿宋" w:cs="仿宋"/>
          <w:sz w:val="32"/>
        </w:rPr>
      </w:pPr>
      <w:r>
        <w:rPr>
          <w:rFonts w:hint="eastAsia" w:ascii="仿宋" w:hAnsi="仿宋" w:eastAsia="仿宋" w:cs="仿宋"/>
          <w:sz w:val="32"/>
        </w:rPr>
        <w:t>5.水表迁移费：独表每块200元，分表每块80元；</w:t>
      </w:r>
    </w:p>
    <w:p w14:paraId="152B3E09">
      <w:pPr>
        <w:spacing w:line="564" w:lineRule="exact"/>
        <w:ind w:firstLine="640" w:firstLineChars="200"/>
        <w:rPr>
          <w:rFonts w:hint="eastAsia" w:ascii="仿宋" w:hAnsi="仿宋" w:eastAsia="仿宋" w:cs="仿宋"/>
          <w:sz w:val="32"/>
        </w:rPr>
      </w:pPr>
      <w:r>
        <w:rPr>
          <w:rFonts w:hint="eastAsia" w:ascii="仿宋" w:hAnsi="仿宋" w:eastAsia="仿宋" w:cs="仿宋"/>
          <w:sz w:val="32"/>
        </w:rPr>
        <w:t>6.电表迁移费：独表每块480元，分时电表每块780元，分表每块100元；</w:t>
      </w:r>
    </w:p>
    <w:p w14:paraId="7758B49E">
      <w:pPr>
        <w:spacing w:line="564" w:lineRule="exact"/>
        <w:ind w:firstLine="640" w:firstLineChars="200"/>
        <w:rPr>
          <w:rFonts w:hint="eastAsia" w:ascii="仿宋" w:hAnsi="仿宋" w:eastAsia="仿宋" w:cs="仿宋"/>
          <w:sz w:val="32"/>
        </w:rPr>
      </w:pPr>
      <w:r>
        <w:rPr>
          <w:rFonts w:hint="eastAsia" w:ascii="仿宋" w:hAnsi="仿宋" w:eastAsia="仿宋" w:cs="仿宋"/>
          <w:sz w:val="32"/>
        </w:rPr>
        <w:t>7.空调移机费：窗机每台200元、分体机每台300元、柜机每台500元；</w:t>
      </w:r>
    </w:p>
    <w:p w14:paraId="388F296D">
      <w:pPr>
        <w:spacing w:line="564" w:lineRule="exact"/>
        <w:ind w:firstLine="640" w:firstLineChars="200"/>
        <w:rPr>
          <w:rFonts w:hint="eastAsia" w:ascii="仿宋" w:hAnsi="仿宋" w:eastAsia="仿宋" w:cs="仿宋"/>
          <w:sz w:val="32"/>
        </w:rPr>
      </w:pPr>
      <w:r>
        <w:rPr>
          <w:rFonts w:hint="eastAsia" w:ascii="仿宋" w:hAnsi="仿宋" w:eastAsia="仿宋" w:cs="仿宋"/>
          <w:sz w:val="32"/>
        </w:rPr>
        <w:t>以上7项按打包价3000元进行补偿，超过3000元打包价的按票据据实结算。</w:t>
      </w:r>
    </w:p>
    <w:p w14:paraId="697D1675">
      <w:pPr>
        <w:spacing w:line="564" w:lineRule="exact"/>
        <w:ind w:firstLine="640" w:firstLineChars="200"/>
        <w:rPr>
          <w:rFonts w:hint="eastAsia" w:ascii="仿宋" w:hAnsi="仿宋" w:eastAsia="仿宋" w:cs="仿宋"/>
          <w:sz w:val="32"/>
        </w:rPr>
      </w:pPr>
      <w:r>
        <w:rPr>
          <w:rFonts w:hint="eastAsia" w:ascii="仿宋" w:hAnsi="仿宋" w:eastAsia="仿宋" w:cs="仿宋"/>
          <w:sz w:val="32"/>
        </w:rPr>
        <w:t>8.太阳能热水器、地暖、水暖设施由评估公司确定补偿价值；</w:t>
      </w:r>
    </w:p>
    <w:p w14:paraId="72553A35">
      <w:pPr>
        <w:spacing w:line="564" w:lineRule="exact"/>
        <w:ind w:firstLine="640" w:firstLineChars="200"/>
        <w:rPr>
          <w:rFonts w:hint="eastAsia" w:ascii="仿宋" w:hAnsi="仿宋" w:eastAsia="仿宋" w:cs="仿宋"/>
          <w:sz w:val="32"/>
        </w:rPr>
      </w:pPr>
      <w:r>
        <w:rPr>
          <w:rFonts w:hint="eastAsia" w:ascii="仿宋" w:hAnsi="仿宋" w:eastAsia="仿宋" w:cs="仿宋"/>
          <w:sz w:val="32"/>
        </w:rPr>
        <w:t>9.管道煤气迁移费：每户2400元。</w:t>
      </w:r>
    </w:p>
    <w:p w14:paraId="70805B3F">
      <w:pPr>
        <w:spacing w:line="564" w:lineRule="exact"/>
        <w:ind w:firstLine="640" w:firstLineChars="200"/>
        <w:rPr>
          <w:rFonts w:hint="eastAsia" w:ascii="黑体" w:hAnsi="黑体" w:eastAsia="黑体" w:cs="黑体"/>
          <w:sz w:val="32"/>
        </w:rPr>
      </w:pPr>
      <w:r>
        <w:rPr>
          <w:rFonts w:hint="eastAsia" w:ascii="黑体" w:hAnsi="黑体" w:eastAsia="黑体" w:cs="黑体"/>
          <w:sz w:val="32"/>
        </w:rPr>
        <w:t>五、奖励</w:t>
      </w:r>
    </w:p>
    <w:p w14:paraId="2EEEA6F4">
      <w:pPr>
        <w:spacing w:line="564" w:lineRule="exact"/>
        <w:ind w:firstLine="1280" w:firstLineChars="400"/>
        <w:rPr>
          <w:rFonts w:hint="eastAsia" w:ascii="仿宋" w:hAnsi="仿宋" w:eastAsia="仿宋" w:cs="仿宋"/>
          <w:sz w:val="32"/>
        </w:rPr>
      </w:pPr>
      <w:r>
        <w:rPr>
          <w:rFonts w:hint="eastAsia" w:ascii="仿宋" w:hAnsi="仿宋" w:eastAsia="仿宋" w:cs="仿宋"/>
          <w:sz w:val="32"/>
        </w:rPr>
        <w:t>非住宅房屋签约奖励</w:t>
      </w:r>
    </w:p>
    <w:p w14:paraId="67FE1CFD">
      <w:pPr>
        <w:spacing w:line="564"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在签约期限内签订补偿协议的，给予签约奖励，标准为：</w:t>
      </w:r>
    </w:p>
    <w:p w14:paraId="12C01DB4">
      <w:pPr>
        <w:spacing w:line="564" w:lineRule="exact"/>
        <w:ind w:firstLine="640" w:firstLineChars="200"/>
        <w:rPr>
          <w:rFonts w:hint="eastAsia" w:ascii="仿宋" w:hAnsi="仿宋" w:eastAsia="仿宋" w:cs="仿宋"/>
          <w:sz w:val="32"/>
        </w:rPr>
      </w:pPr>
      <w:r>
        <w:rPr>
          <w:rFonts w:hint="eastAsia" w:ascii="仿宋" w:hAnsi="仿宋" w:eastAsia="仿宋" w:cs="仿宋"/>
          <w:sz w:val="32"/>
        </w:rPr>
        <w:t>被征收房屋建筑面积（包括未经登记建筑）小于1000</w:t>
      </w:r>
      <w:r>
        <w:rPr>
          <w:rFonts w:hint="eastAsia" w:ascii="仿宋" w:hAnsi="仿宋" w:eastAsia="仿宋" w:cs="仿宋"/>
          <w:sz w:val="32"/>
          <w:szCs w:val="32"/>
        </w:rPr>
        <w:t>平方米</w:t>
      </w:r>
      <w:r>
        <w:rPr>
          <w:rFonts w:hint="eastAsia" w:ascii="仿宋" w:hAnsi="仿宋" w:eastAsia="仿宋" w:cs="仿宋"/>
          <w:sz w:val="32"/>
        </w:rPr>
        <w:t>的,奖励人民币20000元/户；被征收房屋建筑面积大于等于1000</w:t>
      </w:r>
      <w:r>
        <w:rPr>
          <w:rFonts w:hint="eastAsia" w:ascii="仿宋" w:hAnsi="仿宋" w:eastAsia="仿宋" w:cs="仿宋"/>
          <w:sz w:val="32"/>
          <w:szCs w:val="32"/>
        </w:rPr>
        <w:t>平方米</w:t>
      </w:r>
      <w:r>
        <w:rPr>
          <w:rFonts w:hint="eastAsia" w:ascii="仿宋" w:hAnsi="仿宋" w:eastAsia="仿宋" w:cs="仿宋"/>
          <w:sz w:val="32"/>
        </w:rPr>
        <w:t>小于2000</w:t>
      </w:r>
      <w:r>
        <w:rPr>
          <w:rFonts w:hint="eastAsia" w:ascii="仿宋" w:hAnsi="仿宋" w:eastAsia="仿宋" w:cs="仿宋"/>
          <w:sz w:val="32"/>
          <w:szCs w:val="32"/>
        </w:rPr>
        <w:t>平方米</w:t>
      </w:r>
      <w:r>
        <w:rPr>
          <w:rFonts w:hint="eastAsia" w:ascii="仿宋" w:hAnsi="仿宋" w:eastAsia="仿宋" w:cs="仿宋"/>
          <w:sz w:val="32"/>
        </w:rPr>
        <w:t>的，奖励人民币40000元/户；被征收房屋建筑面积大于等于2000</w:t>
      </w:r>
      <w:r>
        <w:rPr>
          <w:rFonts w:hint="eastAsia" w:ascii="仿宋" w:hAnsi="仿宋" w:eastAsia="仿宋" w:cs="仿宋"/>
          <w:sz w:val="32"/>
          <w:szCs w:val="32"/>
        </w:rPr>
        <w:t>平方米</w:t>
      </w:r>
      <w:r>
        <w:rPr>
          <w:rFonts w:hint="eastAsia" w:ascii="仿宋" w:hAnsi="仿宋" w:eastAsia="仿宋" w:cs="仿宋"/>
          <w:sz w:val="32"/>
        </w:rPr>
        <w:t>小于5000</w:t>
      </w:r>
      <w:r>
        <w:rPr>
          <w:rFonts w:hint="eastAsia" w:ascii="仿宋" w:hAnsi="仿宋" w:eastAsia="仿宋" w:cs="仿宋"/>
          <w:sz w:val="32"/>
          <w:szCs w:val="32"/>
        </w:rPr>
        <w:t>平方米</w:t>
      </w:r>
      <w:r>
        <w:rPr>
          <w:rFonts w:hint="eastAsia" w:ascii="仿宋" w:hAnsi="仿宋" w:eastAsia="仿宋" w:cs="仿宋"/>
          <w:sz w:val="32"/>
        </w:rPr>
        <w:t>的，奖励人民币80000元/户；被征收房屋建筑面积大于等于5000</w:t>
      </w:r>
      <w:r>
        <w:rPr>
          <w:rFonts w:hint="eastAsia" w:ascii="仿宋" w:hAnsi="仿宋" w:eastAsia="仿宋" w:cs="仿宋"/>
          <w:sz w:val="32"/>
          <w:szCs w:val="32"/>
        </w:rPr>
        <w:t>平方米</w:t>
      </w:r>
      <w:r>
        <w:rPr>
          <w:rFonts w:hint="eastAsia" w:ascii="仿宋" w:hAnsi="仿宋" w:eastAsia="仿宋" w:cs="仿宋"/>
          <w:sz w:val="32"/>
        </w:rPr>
        <w:t>的,奖励人民币160000元/户。</w:t>
      </w:r>
    </w:p>
    <w:p w14:paraId="30C8367B">
      <w:pPr>
        <w:spacing w:line="564" w:lineRule="exact"/>
        <w:ind w:firstLine="640" w:firstLineChars="200"/>
        <w:rPr>
          <w:rFonts w:hint="eastAsia" w:ascii="黑体" w:hAnsi="黑体" w:eastAsia="黑体" w:cs="黑体"/>
          <w:sz w:val="32"/>
        </w:rPr>
      </w:pPr>
      <w:r>
        <w:rPr>
          <w:rFonts w:hint="eastAsia" w:ascii="黑体" w:hAnsi="黑体" w:eastAsia="黑体" w:cs="黑体"/>
          <w:sz w:val="32"/>
        </w:rPr>
        <w:t>六、其他事项</w:t>
      </w:r>
    </w:p>
    <w:p w14:paraId="0BE3AA9C">
      <w:pPr>
        <w:spacing w:line="564" w:lineRule="exact"/>
        <w:ind w:firstLine="640" w:firstLineChars="200"/>
        <w:rPr>
          <w:rFonts w:hint="eastAsia" w:ascii="仿宋" w:hAnsi="仿宋" w:eastAsia="仿宋" w:cs="仿宋"/>
          <w:sz w:val="32"/>
        </w:rPr>
      </w:pPr>
      <w:r>
        <w:rPr>
          <w:rFonts w:hint="eastAsia" w:ascii="仿宋" w:hAnsi="仿宋" w:eastAsia="仿宋" w:cs="仿宋"/>
          <w:sz w:val="32"/>
        </w:rPr>
        <w:t>（一）本方案未尽事宜按照国家及武汉市有关政策执行。</w:t>
      </w:r>
    </w:p>
    <w:p w14:paraId="095198A4">
      <w:pPr>
        <w:spacing w:line="564" w:lineRule="exact"/>
        <w:ind w:firstLine="640" w:firstLineChars="200"/>
        <w:rPr>
          <w:rFonts w:hint="eastAsia" w:ascii="仿宋" w:hAnsi="仿宋" w:eastAsia="仿宋" w:cs="仿宋"/>
        </w:rPr>
      </w:pPr>
      <w:r>
        <w:rPr>
          <w:rFonts w:hint="eastAsia" w:ascii="仿宋" w:hAnsi="仿宋" w:eastAsia="仿宋" w:cs="仿宋"/>
          <w:sz w:val="32"/>
        </w:rPr>
        <w:t>（二）本方案由武汉市青山区住房和城市更新局负责解释。</w:t>
      </w:r>
    </w:p>
    <w:p w14:paraId="3582C03A">
      <w:pPr>
        <w:rPr>
          <w:rFonts w:hint="eastAsia" w:ascii="仿宋" w:hAnsi="仿宋" w:eastAsia="仿宋" w:cs="仿宋"/>
        </w:rPr>
      </w:pPr>
    </w:p>
    <w:p w14:paraId="6E08853E">
      <w:pPr>
        <w:rPr>
          <w:rFonts w:hint="eastAsia" w:ascii="仿宋" w:hAnsi="仿宋" w:eastAsia="仿宋" w:cs="仿宋"/>
        </w:rPr>
      </w:pPr>
    </w:p>
    <w:p w14:paraId="17E4FE94">
      <w:pPr>
        <w:rPr>
          <w:rFonts w:hint="eastAsia" w:ascii="仿宋" w:hAnsi="仿宋" w:eastAsia="仿宋" w:cs="仿宋"/>
        </w:rPr>
      </w:pPr>
    </w:p>
    <w:p w14:paraId="0D7838AE">
      <w:pPr>
        <w:rPr>
          <w:rFonts w:hint="eastAsia" w:ascii="仿宋" w:hAnsi="仿宋" w:eastAsia="仿宋" w:cs="仿宋"/>
        </w:rPr>
      </w:pPr>
    </w:p>
    <w:p w14:paraId="782E8B7B">
      <w:pPr>
        <w:rPr>
          <w:rFonts w:hint="eastAsia" w:ascii="仿宋" w:hAnsi="仿宋" w:eastAsia="仿宋" w:cs="仿宋"/>
        </w:rPr>
      </w:pPr>
    </w:p>
    <w:p w14:paraId="074A058F">
      <w:pPr>
        <w:rPr>
          <w:rFonts w:hint="eastAsia" w:ascii="仿宋" w:hAnsi="仿宋" w:eastAsia="仿宋" w:cs="仿宋"/>
        </w:rPr>
      </w:pPr>
    </w:p>
    <w:p w14:paraId="72D57126">
      <w:pPr>
        <w:rPr>
          <w:rFonts w:hint="eastAsia" w:ascii="仿宋" w:hAnsi="仿宋" w:eastAsia="仿宋" w:cs="仿宋"/>
        </w:rPr>
      </w:pPr>
    </w:p>
    <w:p w14:paraId="18577B63">
      <w:pPr>
        <w:rPr>
          <w:rFonts w:hint="eastAsia" w:ascii="仿宋" w:hAnsi="仿宋" w:eastAsia="仿宋" w:cs="仿宋"/>
        </w:rPr>
      </w:pPr>
    </w:p>
    <w:p w14:paraId="3B6C5C51">
      <w:pPr>
        <w:rPr>
          <w:rFonts w:hint="eastAsia" w:ascii="仿宋" w:hAnsi="仿宋" w:eastAsia="仿宋" w:cs="仿宋"/>
        </w:rPr>
      </w:pPr>
    </w:p>
    <w:p w14:paraId="1A000F1B">
      <w:pPr>
        <w:rPr>
          <w:rFonts w:hint="eastAsia" w:ascii="仿宋" w:hAnsi="仿宋" w:eastAsia="仿宋" w:cs="仿宋"/>
        </w:rPr>
      </w:pPr>
    </w:p>
    <w:p w14:paraId="3E8940A6">
      <w:pPr>
        <w:rPr>
          <w:rFonts w:hint="eastAsia" w:ascii="仿宋" w:hAnsi="仿宋" w:eastAsia="仿宋" w:cs="仿宋"/>
        </w:rPr>
      </w:pPr>
    </w:p>
    <w:p w14:paraId="68DCEB93">
      <w:pPr>
        <w:rPr>
          <w:rFonts w:hint="eastAsia" w:ascii="仿宋" w:hAnsi="仿宋" w:eastAsia="仿宋" w:cs="仿宋"/>
        </w:rPr>
      </w:pPr>
    </w:p>
    <w:sectPr>
      <w:headerReference r:id="rId3" w:type="default"/>
      <w:footerReference r:id="rId4" w:type="default"/>
      <w:footerReference r:id="rId5" w:type="even"/>
      <w:pgSz w:w="11906" w:h="16838"/>
      <w:pgMar w:top="1701" w:right="1474" w:bottom="1587"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02B100-49C2-486C-94BD-E7C2D102D0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9DF20AEF-2858-44B3-9376-FEFF2BCD4E58}"/>
  </w:font>
  <w:font w:name="仿宋">
    <w:panose1 w:val="02010609060101010101"/>
    <w:charset w:val="86"/>
    <w:family w:val="modern"/>
    <w:pitch w:val="default"/>
    <w:sig w:usb0="800002BF" w:usb1="38CF7CFA" w:usb2="00000016" w:usb3="00000000" w:csb0="00040001" w:csb1="00000000"/>
    <w:embedRegular r:id="rId3" w:fontKey="{689CBD25-CB92-43A5-9C98-9D8EAA32CA3A}"/>
  </w:font>
  <w:font w:name="仿宋_GB2312">
    <w:panose1 w:val="02010609030101010101"/>
    <w:charset w:val="86"/>
    <w:family w:val="modern"/>
    <w:pitch w:val="default"/>
    <w:sig w:usb0="00000001" w:usb1="080E0000" w:usb2="00000000" w:usb3="00000000" w:csb0="00040000" w:csb1="00000000"/>
    <w:embedRegular r:id="rId4" w:fontKey="{B8C7038C-9535-43C8-B171-6B9AB81718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C77D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362270">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5Y+LssBAACc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0CJ4xYHfv754/zrz/n3d7Ks&#10;Xr/NCvUBaky8DZiahvd+yNmTH9CZiQ8q2vxFSgTjqO/poq8cEhH50Wq5WlUYEhibL4jD7p+HCOmD&#10;9JZko6ERB1h05cdPkMbUOSVXc/5GG4N+Xhv3nwMxs4fl3sces5WG3TA1vvPtCfn0OPuGOlx1SsxH&#10;h9LmNZmNOBu72TiEqPdd2aNcD8K7Q8ImSm+5wgg7FcahFXbTguWt+Pdesu5/q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uWPi7LAQAAnAMAAA4AAAAAAAAAAQAgAAAAHgEAAGRycy9lMm9E&#10;b2MueG1sUEsFBgAAAAAGAAYAWQEAAFsFAAAAAA==&#10;">
              <v:fill on="f" focussize="0,0"/>
              <v:stroke on="f"/>
              <v:imagedata o:title=""/>
              <o:lock v:ext="edit" aspectratio="f"/>
              <v:textbox inset="0mm,0mm,0mm,0mm" style="mso-fit-shape-to-text:t;">
                <w:txbxContent>
                  <w:p w14:paraId="72362270">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023A0">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xml:space="preserve"> </w:t>
    </w:r>
    <w:r>
      <w:fldChar w:fldCharType="end"/>
    </w:r>
  </w:p>
  <w:p w14:paraId="6D277B9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FD0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6EDE7"/>
    <w:multiLevelType w:val="singleLevel"/>
    <w:tmpl w:val="6126ED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WMzOGNlNzg5YjE4ZTk5ZGUwM2IxMTZjMTdhYzEifQ=="/>
  </w:docVars>
  <w:rsids>
    <w:rsidRoot w:val="00172A27"/>
    <w:rsid w:val="000021A8"/>
    <w:rsid w:val="000065F7"/>
    <w:rsid w:val="00010AD3"/>
    <w:rsid w:val="00014506"/>
    <w:rsid w:val="00021DC2"/>
    <w:rsid w:val="00023F49"/>
    <w:rsid w:val="000247B9"/>
    <w:rsid w:val="00027D15"/>
    <w:rsid w:val="00030640"/>
    <w:rsid w:val="00034F61"/>
    <w:rsid w:val="00040383"/>
    <w:rsid w:val="00042BAB"/>
    <w:rsid w:val="0005018C"/>
    <w:rsid w:val="00050930"/>
    <w:rsid w:val="00060055"/>
    <w:rsid w:val="0006030C"/>
    <w:rsid w:val="00061751"/>
    <w:rsid w:val="00061C83"/>
    <w:rsid w:val="00070702"/>
    <w:rsid w:val="0007224D"/>
    <w:rsid w:val="00074540"/>
    <w:rsid w:val="00082291"/>
    <w:rsid w:val="00082A94"/>
    <w:rsid w:val="00086228"/>
    <w:rsid w:val="00090F61"/>
    <w:rsid w:val="00092526"/>
    <w:rsid w:val="00094E8E"/>
    <w:rsid w:val="000971C8"/>
    <w:rsid w:val="00097BF1"/>
    <w:rsid w:val="00097D2F"/>
    <w:rsid w:val="000A1DFE"/>
    <w:rsid w:val="000A2DF3"/>
    <w:rsid w:val="000A5AAB"/>
    <w:rsid w:val="000A680E"/>
    <w:rsid w:val="000B52C4"/>
    <w:rsid w:val="000C16B6"/>
    <w:rsid w:val="000C26A0"/>
    <w:rsid w:val="000C6C8D"/>
    <w:rsid w:val="000C7113"/>
    <w:rsid w:val="000C7B71"/>
    <w:rsid w:val="000D6E63"/>
    <w:rsid w:val="000E4C11"/>
    <w:rsid w:val="000E654A"/>
    <w:rsid w:val="000F2612"/>
    <w:rsid w:val="000F5951"/>
    <w:rsid w:val="000F7587"/>
    <w:rsid w:val="00105837"/>
    <w:rsid w:val="00106B95"/>
    <w:rsid w:val="0011343B"/>
    <w:rsid w:val="00114772"/>
    <w:rsid w:val="00114B65"/>
    <w:rsid w:val="00120F89"/>
    <w:rsid w:val="001215A2"/>
    <w:rsid w:val="00121640"/>
    <w:rsid w:val="00122346"/>
    <w:rsid w:val="00125FD7"/>
    <w:rsid w:val="0012648B"/>
    <w:rsid w:val="00133763"/>
    <w:rsid w:val="00135BE1"/>
    <w:rsid w:val="00141388"/>
    <w:rsid w:val="00146A7B"/>
    <w:rsid w:val="001560DB"/>
    <w:rsid w:val="0016264A"/>
    <w:rsid w:val="001637D0"/>
    <w:rsid w:val="00164FA7"/>
    <w:rsid w:val="00165050"/>
    <w:rsid w:val="00166118"/>
    <w:rsid w:val="00167BF6"/>
    <w:rsid w:val="00182F82"/>
    <w:rsid w:val="00193AD8"/>
    <w:rsid w:val="00194CC8"/>
    <w:rsid w:val="0019702D"/>
    <w:rsid w:val="001A09A6"/>
    <w:rsid w:val="001A1808"/>
    <w:rsid w:val="001A2B46"/>
    <w:rsid w:val="001A3BD1"/>
    <w:rsid w:val="001A3CCC"/>
    <w:rsid w:val="001B21ED"/>
    <w:rsid w:val="001B3194"/>
    <w:rsid w:val="001B5DE6"/>
    <w:rsid w:val="001C0072"/>
    <w:rsid w:val="001C0A82"/>
    <w:rsid w:val="001C1051"/>
    <w:rsid w:val="001C232B"/>
    <w:rsid w:val="001C2369"/>
    <w:rsid w:val="001D3721"/>
    <w:rsid w:val="001D490B"/>
    <w:rsid w:val="001D677E"/>
    <w:rsid w:val="001D769F"/>
    <w:rsid w:val="001F5D60"/>
    <w:rsid w:val="001F7EA6"/>
    <w:rsid w:val="002075A8"/>
    <w:rsid w:val="00207C81"/>
    <w:rsid w:val="0021380F"/>
    <w:rsid w:val="00220D9E"/>
    <w:rsid w:val="00224B92"/>
    <w:rsid w:val="0022789E"/>
    <w:rsid w:val="002301F5"/>
    <w:rsid w:val="002328E4"/>
    <w:rsid w:val="00232DD8"/>
    <w:rsid w:val="00232F55"/>
    <w:rsid w:val="00233709"/>
    <w:rsid w:val="00234978"/>
    <w:rsid w:val="00242DA6"/>
    <w:rsid w:val="0024355D"/>
    <w:rsid w:val="0025013F"/>
    <w:rsid w:val="002521B6"/>
    <w:rsid w:val="00256340"/>
    <w:rsid w:val="002576AC"/>
    <w:rsid w:val="002635D8"/>
    <w:rsid w:val="00265323"/>
    <w:rsid w:val="002715A8"/>
    <w:rsid w:val="0027458B"/>
    <w:rsid w:val="00277F30"/>
    <w:rsid w:val="0028056A"/>
    <w:rsid w:val="0028120F"/>
    <w:rsid w:val="00282844"/>
    <w:rsid w:val="00282FD2"/>
    <w:rsid w:val="0028354A"/>
    <w:rsid w:val="00285CEB"/>
    <w:rsid w:val="00285CFB"/>
    <w:rsid w:val="00290D60"/>
    <w:rsid w:val="00291300"/>
    <w:rsid w:val="00292BAB"/>
    <w:rsid w:val="00292C32"/>
    <w:rsid w:val="002A18AA"/>
    <w:rsid w:val="002A1C03"/>
    <w:rsid w:val="002A2F11"/>
    <w:rsid w:val="002A3CC8"/>
    <w:rsid w:val="002A4B40"/>
    <w:rsid w:val="002B257F"/>
    <w:rsid w:val="002B4296"/>
    <w:rsid w:val="002B4EBA"/>
    <w:rsid w:val="002B7042"/>
    <w:rsid w:val="002C03F2"/>
    <w:rsid w:val="002C1D18"/>
    <w:rsid w:val="002C33A2"/>
    <w:rsid w:val="002D0E9E"/>
    <w:rsid w:val="002D1D4A"/>
    <w:rsid w:val="002D4A59"/>
    <w:rsid w:val="002D5266"/>
    <w:rsid w:val="002D5ACA"/>
    <w:rsid w:val="002D7018"/>
    <w:rsid w:val="002D7694"/>
    <w:rsid w:val="002E04D5"/>
    <w:rsid w:val="002E4508"/>
    <w:rsid w:val="002E72A3"/>
    <w:rsid w:val="002E7664"/>
    <w:rsid w:val="003007D7"/>
    <w:rsid w:val="0030583A"/>
    <w:rsid w:val="003141A8"/>
    <w:rsid w:val="003320FB"/>
    <w:rsid w:val="003325BD"/>
    <w:rsid w:val="0033494B"/>
    <w:rsid w:val="00340FA6"/>
    <w:rsid w:val="00341058"/>
    <w:rsid w:val="0034453A"/>
    <w:rsid w:val="00345BB1"/>
    <w:rsid w:val="00347BCC"/>
    <w:rsid w:val="00353A65"/>
    <w:rsid w:val="0035606D"/>
    <w:rsid w:val="003648DA"/>
    <w:rsid w:val="00364CA7"/>
    <w:rsid w:val="00365FA8"/>
    <w:rsid w:val="00370786"/>
    <w:rsid w:val="00370A97"/>
    <w:rsid w:val="003711D1"/>
    <w:rsid w:val="00384F8D"/>
    <w:rsid w:val="00390726"/>
    <w:rsid w:val="00390E32"/>
    <w:rsid w:val="00394611"/>
    <w:rsid w:val="003979AF"/>
    <w:rsid w:val="003A5B98"/>
    <w:rsid w:val="003B018C"/>
    <w:rsid w:val="003B4A99"/>
    <w:rsid w:val="003B4CB2"/>
    <w:rsid w:val="003B7CB6"/>
    <w:rsid w:val="003C787B"/>
    <w:rsid w:val="003D0B14"/>
    <w:rsid w:val="003D258B"/>
    <w:rsid w:val="003D4522"/>
    <w:rsid w:val="003D5E07"/>
    <w:rsid w:val="003D6ECB"/>
    <w:rsid w:val="003E25D7"/>
    <w:rsid w:val="003E7F5A"/>
    <w:rsid w:val="003F029B"/>
    <w:rsid w:val="003F0F9A"/>
    <w:rsid w:val="003F576B"/>
    <w:rsid w:val="00400DA4"/>
    <w:rsid w:val="00403498"/>
    <w:rsid w:val="00403796"/>
    <w:rsid w:val="00404DD3"/>
    <w:rsid w:val="00410F8A"/>
    <w:rsid w:val="0041309C"/>
    <w:rsid w:val="004133BB"/>
    <w:rsid w:val="00416293"/>
    <w:rsid w:val="00423048"/>
    <w:rsid w:val="00423F8E"/>
    <w:rsid w:val="00424093"/>
    <w:rsid w:val="004274CD"/>
    <w:rsid w:val="00436D0B"/>
    <w:rsid w:val="00440BD4"/>
    <w:rsid w:val="004440DF"/>
    <w:rsid w:val="0044459D"/>
    <w:rsid w:val="00444C8F"/>
    <w:rsid w:val="00445012"/>
    <w:rsid w:val="00452498"/>
    <w:rsid w:val="00457284"/>
    <w:rsid w:val="00464214"/>
    <w:rsid w:val="00466146"/>
    <w:rsid w:val="004715B0"/>
    <w:rsid w:val="0047477F"/>
    <w:rsid w:val="00475830"/>
    <w:rsid w:val="00481D36"/>
    <w:rsid w:val="004820DD"/>
    <w:rsid w:val="00483B87"/>
    <w:rsid w:val="00484FF7"/>
    <w:rsid w:val="00487AA9"/>
    <w:rsid w:val="004907B4"/>
    <w:rsid w:val="0049560C"/>
    <w:rsid w:val="004A5B1C"/>
    <w:rsid w:val="004B2CC4"/>
    <w:rsid w:val="004B5073"/>
    <w:rsid w:val="004B52E9"/>
    <w:rsid w:val="004B5BE4"/>
    <w:rsid w:val="004B6533"/>
    <w:rsid w:val="004B78F8"/>
    <w:rsid w:val="004B7DC9"/>
    <w:rsid w:val="004C7A7B"/>
    <w:rsid w:val="004D2B1E"/>
    <w:rsid w:val="004D2C5F"/>
    <w:rsid w:val="004D5C5E"/>
    <w:rsid w:val="004D65F1"/>
    <w:rsid w:val="004E06A4"/>
    <w:rsid w:val="004E1E6F"/>
    <w:rsid w:val="004E5F8C"/>
    <w:rsid w:val="004E6E8D"/>
    <w:rsid w:val="004F0D49"/>
    <w:rsid w:val="004F1703"/>
    <w:rsid w:val="004F4092"/>
    <w:rsid w:val="0050083C"/>
    <w:rsid w:val="0050207D"/>
    <w:rsid w:val="00513D98"/>
    <w:rsid w:val="0051445D"/>
    <w:rsid w:val="00515696"/>
    <w:rsid w:val="00521FEF"/>
    <w:rsid w:val="00523EB9"/>
    <w:rsid w:val="0052574A"/>
    <w:rsid w:val="005315CD"/>
    <w:rsid w:val="005318F9"/>
    <w:rsid w:val="00531E59"/>
    <w:rsid w:val="005369BF"/>
    <w:rsid w:val="00540B4F"/>
    <w:rsid w:val="00541FD0"/>
    <w:rsid w:val="00545420"/>
    <w:rsid w:val="00546843"/>
    <w:rsid w:val="00550B83"/>
    <w:rsid w:val="0055147A"/>
    <w:rsid w:val="005545F2"/>
    <w:rsid w:val="005561AD"/>
    <w:rsid w:val="00565036"/>
    <w:rsid w:val="0056708E"/>
    <w:rsid w:val="00567CAB"/>
    <w:rsid w:val="00570973"/>
    <w:rsid w:val="005730D5"/>
    <w:rsid w:val="00576087"/>
    <w:rsid w:val="00576945"/>
    <w:rsid w:val="00596A20"/>
    <w:rsid w:val="00597D3B"/>
    <w:rsid w:val="005A421A"/>
    <w:rsid w:val="005A4647"/>
    <w:rsid w:val="005A6FEF"/>
    <w:rsid w:val="005A7560"/>
    <w:rsid w:val="005A786C"/>
    <w:rsid w:val="005B0DBE"/>
    <w:rsid w:val="005B1670"/>
    <w:rsid w:val="005B70D8"/>
    <w:rsid w:val="005B7BF7"/>
    <w:rsid w:val="005C21CF"/>
    <w:rsid w:val="005C55E0"/>
    <w:rsid w:val="005C685A"/>
    <w:rsid w:val="005D2AD5"/>
    <w:rsid w:val="005D4F81"/>
    <w:rsid w:val="005D58A5"/>
    <w:rsid w:val="005E08D3"/>
    <w:rsid w:val="005E102F"/>
    <w:rsid w:val="005E2413"/>
    <w:rsid w:val="005E3ED3"/>
    <w:rsid w:val="005E6D29"/>
    <w:rsid w:val="005E7275"/>
    <w:rsid w:val="005F041D"/>
    <w:rsid w:val="005F10B7"/>
    <w:rsid w:val="005F4383"/>
    <w:rsid w:val="005F5385"/>
    <w:rsid w:val="005F7AC7"/>
    <w:rsid w:val="00600473"/>
    <w:rsid w:val="00600B20"/>
    <w:rsid w:val="006032FA"/>
    <w:rsid w:val="0060492F"/>
    <w:rsid w:val="006055B0"/>
    <w:rsid w:val="00606FD8"/>
    <w:rsid w:val="00607AC6"/>
    <w:rsid w:val="00617579"/>
    <w:rsid w:val="00621B45"/>
    <w:rsid w:val="006232D0"/>
    <w:rsid w:val="006233E7"/>
    <w:rsid w:val="006254BB"/>
    <w:rsid w:val="006257FF"/>
    <w:rsid w:val="00627748"/>
    <w:rsid w:val="0063373A"/>
    <w:rsid w:val="006348A4"/>
    <w:rsid w:val="0063763C"/>
    <w:rsid w:val="006403AC"/>
    <w:rsid w:val="006412AA"/>
    <w:rsid w:val="00642491"/>
    <w:rsid w:val="00644924"/>
    <w:rsid w:val="00646880"/>
    <w:rsid w:val="00650D43"/>
    <w:rsid w:val="006533A6"/>
    <w:rsid w:val="00653646"/>
    <w:rsid w:val="00657960"/>
    <w:rsid w:val="00660F82"/>
    <w:rsid w:val="0066429A"/>
    <w:rsid w:val="00665D65"/>
    <w:rsid w:val="00665EA5"/>
    <w:rsid w:val="00681CC9"/>
    <w:rsid w:val="006832FB"/>
    <w:rsid w:val="00690B50"/>
    <w:rsid w:val="006924E8"/>
    <w:rsid w:val="00692A1A"/>
    <w:rsid w:val="00692CC7"/>
    <w:rsid w:val="006970B0"/>
    <w:rsid w:val="0069776D"/>
    <w:rsid w:val="006978C0"/>
    <w:rsid w:val="006A1EBF"/>
    <w:rsid w:val="006A312E"/>
    <w:rsid w:val="006A7D08"/>
    <w:rsid w:val="006B0809"/>
    <w:rsid w:val="006B55CB"/>
    <w:rsid w:val="006C0524"/>
    <w:rsid w:val="006C35D9"/>
    <w:rsid w:val="006C4EA7"/>
    <w:rsid w:val="006C5625"/>
    <w:rsid w:val="006C5E7A"/>
    <w:rsid w:val="006D431D"/>
    <w:rsid w:val="006D54BC"/>
    <w:rsid w:val="006D719B"/>
    <w:rsid w:val="006E0FA3"/>
    <w:rsid w:val="006E27D9"/>
    <w:rsid w:val="006F1149"/>
    <w:rsid w:val="006F65F6"/>
    <w:rsid w:val="006F7D99"/>
    <w:rsid w:val="0071142F"/>
    <w:rsid w:val="0071266E"/>
    <w:rsid w:val="00714E46"/>
    <w:rsid w:val="007159E4"/>
    <w:rsid w:val="00716A18"/>
    <w:rsid w:val="007212F6"/>
    <w:rsid w:val="007226DE"/>
    <w:rsid w:val="00726B7E"/>
    <w:rsid w:val="00731D99"/>
    <w:rsid w:val="0073253A"/>
    <w:rsid w:val="007349E4"/>
    <w:rsid w:val="00735245"/>
    <w:rsid w:val="007357CC"/>
    <w:rsid w:val="00741835"/>
    <w:rsid w:val="00741907"/>
    <w:rsid w:val="00745E0E"/>
    <w:rsid w:val="007515D9"/>
    <w:rsid w:val="00755363"/>
    <w:rsid w:val="0075601D"/>
    <w:rsid w:val="00761289"/>
    <w:rsid w:val="00761646"/>
    <w:rsid w:val="00762BF0"/>
    <w:rsid w:val="00767ACF"/>
    <w:rsid w:val="0077110E"/>
    <w:rsid w:val="00771809"/>
    <w:rsid w:val="007723E4"/>
    <w:rsid w:val="00772AE9"/>
    <w:rsid w:val="0077474F"/>
    <w:rsid w:val="00780579"/>
    <w:rsid w:val="00780F82"/>
    <w:rsid w:val="007816CE"/>
    <w:rsid w:val="00781CAA"/>
    <w:rsid w:val="00782061"/>
    <w:rsid w:val="00785845"/>
    <w:rsid w:val="00786025"/>
    <w:rsid w:val="00795024"/>
    <w:rsid w:val="00796245"/>
    <w:rsid w:val="007A0E65"/>
    <w:rsid w:val="007A1DFF"/>
    <w:rsid w:val="007A7F1C"/>
    <w:rsid w:val="007A7F27"/>
    <w:rsid w:val="007B478F"/>
    <w:rsid w:val="007B53B4"/>
    <w:rsid w:val="007C0382"/>
    <w:rsid w:val="007C22D8"/>
    <w:rsid w:val="007C3880"/>
    <w:rsid w:val="007D00E8"/>
    <w:rsid w:val="007D68AC"/>
    <w:rsid w:val="007D6BC4"/>
    <w:rsid w:val="007E0EB0"/>
    <w:rsid w:val="007E133B"/>
    <w:rsid w:val="007E1579"/>
    <w:rsid w:val="007E3B36"/>
    <w:rsid w:val="007E478F"/>
    <w:rsid w:val="007F1F17"/>
    <w:rsid w:val="007F4D0D"/>
    <w:rsid w:val="007F53D4"/>
    <w:rsid w:val="007F669B"/>
    <w:rsid w:val="00803F91"/>
    <w:rsid w:val="008050A2"/>
    <w:rsid w:val="008054E9"/>
    <w:rsid w:val="0080731F"/>
    <w:rsid w:val="0081057B"/>
    <w:rsid w:val="00812884"/>
    <w:rsid w:val="008137EA"/>
    <w:rsid w:val="00813A0E"/>
    <w:rsid w:val="008143E5"/>
    <w:rsid w:val="0081548E"/>
    <w:rsid w:val="00817799"/>
    <w:rsid w:val="00817D63"/>
    <w:rsid w:val="00820555"/>
    <w:rsid w:val="008213B2"/>
    <w:rsid w:val="00824113"/>
    <w:rsid w:val="0082453E"/>
    <w:rsid w:val="0082602D"/>
    <w:rsid w:val="00826718"/>
    <w:rsid w:val="00827116"/>
    <w:rsid w:val="0082735B"/>
    <w:rsid w:val="008405D2"/>
    <w:rsid w:val="00843E97"/>
    <w:rsid w:val="00845CAC"/>
    <w:rsid w:val="00850643"/>
    <w:rsid w:val="008513B0"/>
    <w:rsid w:val="00854D03"/>
    <w:rsid w:val="00856686"/>
    <w:rsid w:val="00863146"/>
    <w:rsid w:val="00864E67"/>
    <w:rsid w:val="00866E3F"/>
    <w:rsid w:val="00873350"/>
    <w:rsid w:val="008734E3"/>
    <w:rsid w:val="008778D3"/>
    <w:rsid w:val="00877B01"/>
    <w:rsid w:val="0088357D"/>
    <w:rsid w:val="00886117"/>
    <w:rsid w:val="00887B3F"/>
    <w:rsid w:val="0089004D"/>
    <w:rsid w:val="0089320A"/>
    <w:rsid w:val="008935CF"/>
    <w:rsid w:val="00893D6E"/>
    <w:rsid w:val="00897C0A"/>
    <w:rsid w:val="008A1787"/>
    <w:rsid w:val="008A3CC2"/>
    <w:rsid w:val="008A54C3"/>
    <w:rsid w:val="008A66F3"/>
    <w:rsid w:val="008A7D8F"/>
    <w:rsid w:val="008B11EB"/>
    <w:rsid w:val="008B6818"/>
    <w:rsid w:val="008C1C9D"/>
    <w:rsid w:val="008C2AD0"/>
    <w:rsid w:val="008C464E"/>
    <w:rsid w:val="008C5F96"/>
    <w:rsid w:val="008D05BC"/>
    <w:rsid w:val="008D0FFF"/>
    <w:rsid w:val="008D490E"/>
    <w:rsid w:val="008D6092"/>
    <w:rsid w:val="008D6310"/>
    <w:rsid w:val="008D6E16"/>
    <w:rsid w:val="008E0021"/>
    <w:rsid w:val="008E0C84"/>
    <w:rsid w:val="00903928"/>
    <w:rsid w:val="009041A4"/>
    <w:rsid w:val="0090548A"/>
    <w:rsid w:val="00907229"/>
    <w:rsid w:val="009078AB"/>
    <w:rsid w:val="00910399"/>
    <w:rsid w:val="00910E82"/>
    <w:rsid w:val="00910E9A"/>
    <w:rsid w:val="00912B11"/>
    <w:rsid w:val="00914CE5"/>
    <w:rsid w:val="00915432"/>
    <w:rsid w:val="009163F2"/>
    <w:rsid w:val="0091724D"/>
    <w:rsid w:val="00924D76"/>
    <w:rsid w:val="0092509E"/>
    <w:rsid w:val="0092587F"/>
    <w:rsid w:val="009273AB"/>
    <w:rsid w:val="00934688"/>
    <w:rsid w:val="00935755"/>
    <w:rsid w:val="00937B7F"/>
    <w:rsid w:val="00944FE8"/>
    <w:rsid w:val="00945D23"/>
    <w:rsid w:val="00950F46"/>
    <w:rsid w:val="00953A32"/>
    <w:rsid w:val="00954F07"/>
    <w:rsid w:val="0096169F"/>
    <w:rsid w:val="009619AD"/>
    <w:rsid w:val="00961B79"/>
    <w:rsid w:val="00962BA0"/>
    <w:rsid w:val="009651B5"/>
    <w:rsid w:val="0097428E"/>
    <w:rsid w:val="009752EC"/>
    <w:rsid w:val="009764C7"/>
    <w:rsid w:val="009818F5"/>
    <w:rsid w:val="009969DB"/>
    <w:rsid w:val="00997306"/>
    <w:rsid w:val="009A66CA"/>
    <w:rsid w:val="009A6990"/>
    <w:rsid w:val="009B1019"/>
    <w:rsid w:val="009B3016"/>
    <w:rsid w:val="009B4B20"/>
    <w:rsid w:val="009C0BF1"/>
    <w:rsid w:val="009C0D6D"/>
    <w:rsid w:val="009C4234"/>
    <w:rsid w:val="009C43CD"/>
    <w:rsid w:val="009D0E54"/>
    <w:rsid w:val="009D25AF"/>
    <w:rsid w:val="009D3497"/>
    <w:rsid w:val="009D363F"/>
    <w:rsid w:val="009E0502"/>
    <w:rsid w:val="009E13F7"/>
    <w:rsid w:val="009E1EB7"/>
    <w:rsid w:val="009E3FD5"/>
    <w:rsid w:val="009E5DF0"/>
    <w:rsid w:val="009E74AB"/>
    <w:rsid w:val="009F1265"/>
    <w:rsid w:val="009F2F71"/>
    <w:rsid w:val="009F6D7F"/>
    <w:rsid w:val="009F7447"/>
    <w:rsid w:val="00A01B1F"/>
    <w:rsid w:val="00A0425B"/>
    <w:rsid w:val="00A0505A"/>
    <w:rsid w:val="00A059BA"/>
    <w:rsid w:val="00A06747"/>
    <w:rsid w:val="00A129A2"/>
    <w:rsid w:val="00A158AF"/>
    <w:rsid w:val="00A20C67"/>
    <w:rsid w:val="00A233F3"/>
    <w:rsid w:val="00A2409D"/>
    <w:rsid w:val="00A32D86"/>
    <w:rsid w:val="00A36675"/>
    <w:rsid w:val="00A37C8A"/>
    <w:rsid w:val="00A40F4F"/>
    <w:rsid w:val="00A436C7"/>
    <w:rsid w:val="00A639AA"/>
    <w:rsid w:val="00A64FE1"/>
    <w:rsid w:val="00A66983"/>
    <w:rsid w:val="00A75179"/>
    <w:rsid w:val="00A8325D"/>
    <w:rsid w:val="00A84C30"/>
    <w:rsid w:val="00A84EE8"/>
    <w:rsid w:val="00A86475"/>
    <w:rsid w:val="00A92E1A"/>
    <w:rsid w:val="00A9357D"/>
    <w:rsid w:val="00AA0BE2"/>
    <w:rsid w:val="00AA17BF"/>
    <w:rsid w:val="00AA198C"/>
    <w:rsid w:val="00AA2405"/>
    <w:rsid w:val="00AA2BD3"/>
    <w:rsid w:val="00AA5184"/>
    <w:rsid w:val="00AB1C95"/>
    <w:rsid w:val="00AB2330"/>
    <w:rsid w:val="00AB4E54"/>
    <w:rsid w:val="00AB63CB"/>
    <w:rsid w:val="00AB71D4"/>
    <w:rsid w:val="00AB78C0"/>
    <w:rsid w:val="00AC5C03"/>
    <w:rsid w:val="00AC6521"/>
    <w:rsid w:val="00AD0A22"/>
    <w:rsid w:val="00AD1141"/>
    <w:rsid w:val="00AD53A4"/>
    <w:rsid w:val="00AD5AB9"/>
    <w:rsid w:val="00AD7D87"/>
    <w:rsid w:val="00AE01BA"/>
    <w:rsid w:val="00AE20AC"/>
    <w:rsid w:val="00AE6FD6"/>
    <w:rsid w:val="00AF0EA0"/>
    <w:rsid w:val="00AF37C2"/>
    <w:rsid w:val="00AF3DAA"/>
    <w:rsid w:val="00B00EC2"/>
    <w:rsid w:val="00B01351"/>
    <w:rsid w:val="00B06B1E"/>
    <w:rsid w:val="00B079EC"/>
    <w:rsid w:val="00B17153"/>
    <w:rsid w:val="00B17A3F"/>
    <w:rsid w:val="00B17BCC"/>
    <w:rsid w:val="00B25E59"/>
    <w:rsid w:val="00B27F99"/>
    <w:rsid w:val="00B33888"/>
    <w:rsid w:val="00B3418F"/>
    <w:rsid w:val="00B346F6"/>
    <w:rsid w:val="00B34912"/>
    <w:rsid w:val="00B40868"/>
    <w:rsid w:val="00B40E33"/>
    <w:rsid w:val="00B42040"/>
    <w:rsid w:val="00B457C2"/>
    <w:rsid w:val="00B55C98"/>
    <w:rsid w:val="00B57CC5"/>
    <w:rsid w:val="00B63C13"/>
    <w:rsid w:val="00B74221"/>
    <w:rsid w:val="00B77296"/>
    <w:rsid w:val="00B80F0D"/>
    <w:rsid w:val="00B815C8"/>
    <w:rsid w:val="00B816BA"/>
    <w:rsid w:val="00B83E78"/>
    <w:rsid w:val="00B915C6"/>
    <w:rsid w:val="00B937B9"/>
    <w:rsid w:val="00BA2C7F"/>
    <w:rsid w:val="00BA4249"/>
    <w:rsid w:val="00BA617F"/>
    <w:rsid w:val="00BA710F"/>
    <w:rsid w:val="00BB0222"/>
    <w:rsid w:val="00BB172A"/>
    <w:rsid w:val="00BB5DEB"/>
    <w:rsid w:val="00BB5EFA"/>
    <w:rsid w:val="00BC284D"/>
    <w:rsid w:val="00BC4F7D"/>
    <w:rsid w:val="00BD1375"/>
    <w:rsid w:val="00BD25FD"/>
    <w:rsid w:val="00BD39AE"/>
    <w:rsid w:val="00BD3B4E"/>
    <w:rsid w:val="00BD5727"/>
    <w:rsid w:val="00BD611C"/>
    <w:rsid w:val="00BD69D8"/>
    <w:rsid w:val="00BE16F0"/>
    <w:rsid w:val="00BE3B8D"/>
    <w:rsid w:val="00BE50BC"/>
    <w:rsid w:val="00BE57D8"/>
    <w:rsid w:val="00BE5BA6"/>
    <w:rsid w:val="00BF0915"/>
    <w:rsid w:val="00BF24DF"/>
    <w:rsid w:val="00BF2D86"/>
    <w:rsid w:val="00C03D27"/>
    <w:rsid w:val="00C04A2A"/>
    <w:rsid w:val="00C04C0F"/>
    <w:rsid w:val="00C064F2"/>
    <w:rsid w:val="00C06CC8"/>
    <w:rsid w:val="00C12338"/>
    <w:rsid w:val="00C22114"/>
    <w:rsid w:val="00C2295A"/>
    <w:rsid w:val="00C23F4D"/>
    <w:rsid w:val="00C26D91"/>
    <w:rsid w:val="00C33A72"/>
    <w:rsid w:val="00C346AB"/>
    <w:rsid w:val="00C34B62"/>
    <w:rsid w:val="00C42B0A"/>
    <w:rsid w:val="00C43A55"/>
    <w:rsid w:val="00C45130"/>
    <w:rsid w:val="00C45553"/>
    <w:rsid w:val="00C46FD7"/>
    <w:rsid w:val="00C47DC5"/>
    <w:rsid w:val="00C5250B"/>
    <w:rsid w:val="00C53010"/>
    <w:rsid w:val="00C54510"/>
    <w:rsid w:val="00C55B9D"/>
    <w:rsid w:val="00C55BBB"/>
    <w:rsid w:val="00C57696"/>
    <w:rsid w:val="00C60543"/>
    <w:rsid w:val="00C65175"/>
    <w:rsid w:val="00C674E1"/>
    <w:rsid w:val="00C7545E"/>
    <w:rsid w:val="00C81AF9"/>
    <w:rsid w:val="00C83DA4"/>
    <w:rsid w:val="00C853EA"/>
    <w:rsid w:val="00C877FB"/>
    <w:rsid w:val="00C92A05"/>
    <w:rsid w:val="00CA26F0"/>
    <w:rsid w:val="00CA5838"/>
    <w:rsid w:val="00CB1783"/>
    <w:rsid w:val="00CB192F"/>
    <w:rsid w:val="00CB42BC"/>
    <w:rsid w:val="00CB442F"/>
    <w:rsid w:val="00CB5434"/>
    <w:rsid w:val="00CB5FE9"/>
    <w:rsid w:val="00CC038A"/>
    <w:rsid w:val="00CC0AD8"/>
    <w:rsid w:val="00CC0AF2"/>
    <w:rsid w:val="00CC0C58"/>
    <w:rsid w:val="00CC7849"/>
    <w:rsid w:val="00CC7AEE"/>
    <w:rsid w:val="00CD14FA"/>
    <w:rsid w:val="00CD1502"/>
    <w:rsid w:val="00CD41C8"/>
    <w:rsid w:val="00CD5BB4"/>
    <w:rsid w:val="00CD7A7D"/>
    <w:rsid w:val="00CE31E4"/>
    <w:rsid w:val="00CE3422"/>
    <w:rsid w:val="00CE61B3"/>
    <w:rsid w:val="00CF4768"/>
    <w:rsid w:val="00CF5DA2"/>
    <w:rsid w:val="00D0111B"/>
    <w:rsid w:val="00D01626"/>
    <w:rsid w:val="00D02192"/>
    <w:rsid w:val="00D052FD"/>
    <w:rsid w:val="00D0550A"/>
    <w:rsid w:val="00D06D96"/>
    <w:rsid w:val="00D07984"/>
    <w:rsid w:val="00D115F6"/>
    <w:rsid w:val="00D11D78"/>
    <w:rsid w:val="00D15978"/>
    <w:rsid w:val="00D217BA"/>
    <w:rsid w:val="00D23CAF"/>
    <w:rsid w:val="00D243DF"/>
    <w:rsid w:val="00D25FE8"/>
    <w:rsid w:val="00D31F40"/>
    <w:rsid w:val="00D3220A"/>
    <w:rsid w:val="00D3395D"/>
    <w:rsid w:val="00D33A5D"/>
    <w:rsid w:val="00D36FFC"/>
    <w:rsid w:val="00D443CB"/>
    <w:rsid w:val="00D450FA"/>
    <w:rsid w:val="00D573BF"/>
    <w:rsid w:val="00D629F5"/>
    <w:rsid w:val="00D65106"/>
    <w:rsid w:val="00D655BE"/>
    <w:rsid w:val="00D708D4"/>
    <w:rsid w:val="00D71BCE"/>
    <w:rsid w:val="00D73059"/>
    <w:rsid w:val="00D73450"/>
    <w:rsid w:val="00D80C0A"/>
    <w:rsid w:val="00D90F27"/>
    <w:rsid w:val="00D916D3"/>
    <w:rsid w:val="00D93710"/>
    <w:rsid w:val="00D93990"/>
    <w:rsid w:val="00D95BAF"/>
    <w:rsid w:val="00DA0E89"/>
    <w:rsid w:val="00DA77D8"/>
    <w:rsid w:val="00DB01A0"/>
    <w:rsid w:val="00DB6854"/>
    <w:rsid w:val="00DC2A79"/>
    <w:rsid w:val="00DC6959"/>
    <w:rsid w:val="00DC7BA5"/>
    <w:rsid w:val="00DC7E22"/>
    <w:rsid w:val="00DD029F"/>
    <w:rsid w:val="00DD27E5"/>
    <w:rsid w:val="00DD35B4"/>
    <w:rsid w:val="00DD58A8"/>
    <w:rsid w:val="00DD6F1F"/>
    <w:rsid w:val="00DD77B6"/>
    <w:rsid w:val="00DE1E9F"/>
    <w:rsid w:val="00DF50D7"/>
    <w:rsid w:val="00DF564D"/>
    <w:rsid w:val="00DF6DA2"/>
    <w:rsid w:val="00E067ED"/>
    <w:rsid w:val="00E06EFA"/>
    <w:rsid w:val="00E11A47"/>
    <w:rsid w:val="00E1592F"/>
    <w:rsid w:val="00E2324B"/>
    <w:rsid w:val="00E26C0B"/>
    <w:rsid w:val="00E3355F"/>
    <w:rsid w:val="00E33756"/>
    <w:rsid w:val="00E3428A"/>
    <w:rsid w:val="00E37E94"/>
    <w:rsid w:val="00E41618"/>
    <w:rsid w:val="00E42665"/>
    <w:rsid w:val="00E44229"/>
    <w:rsid w:val="00E477FE"/>
    <w:rsid w:val="00E57E15"/>
    <w:rsid w:val="00E631AA"/>
    <w:rsid w:val="00E65C4F"/>
    <w:rsid w:val="00E661F6"/>
    <w:rsid w:val="00E6763D"/>
    <w:rsid w:val="00E71900"/>
    <w:rsid w:val="00E74123"/>
    <w:rsid w:val="00E77A26"/>
    <w:rsid w:val="00E77EEE"/>
    <w:rsid w:val="00E84613"/>
    <w:rsid w:val="00E84B03"/>
    <w:rsid w:val="00E8657D"/>
    <w:rsid w:val="00E90F01"/>
    <w:rsid w:val="00E92026"/>
    <w:rsid w:val="00E960E9"/>
    <w:rsid w:val="00EA3624"/>
    <w:rsid w:val="00EA58CB"/>
    <w:rsid w:val="00EB024F"/>
    <w:rsid w:val="00EB0AEE"/>
    <w:rsid w:val="00EB29AD"/>
    <w:rsid w:val="00EB55B1"/>
    <w:rsid w:val="00EB6391"/>
    <w:rsid w:val="00EB7D68"/>
    <w:rsid w:val="00EC5840"/>
    <w:rsid w:val="00EC6145"/>
    <w:rsid w:val="00ED1502"/>
    <w:rsid w:val="00ED78F5"/>
    <w:rsid w:val="00EE1165"/>
    <w:rsid w:val="00EE5904"/>
    <w:rsid w:val="00EE5B64"/>
    <w:rsid w:val="00EE6B71"/>
    <w:rsid w:val="00EE6BC1"/>
    <w:rsid w:val="00EF0D57"/>
    <w:rsid w:val="00EF57B5"/>
    <w:rsid w:val="00F02F2E"/>
    <w:rsid w:val="00F05401"/>
    <w:rsid w:val="00F05499"/>
    <w:rsid w:val="00F10877"/>
    <w:rsid w:val="00F1608A"/>
    <w:rsid w:val="00F22FDD"/>
    <w:rsid w:val="00F2411E"/>
    <w:rsid w:val="00F25363"/>
    <w:rsid w:val="00F26FD8"/>
    <w:rsid w:val="00F31C3D"/>
    <w:rsid w:val="00F350A1"/>
    <w:rsid w:val="00F370D6"/>
    <w:rsid w:val="00F37DFA"/>
    <w:rsid w:val="00F37EFF"/>
    <w:rsid w:val="00F41255"/>
    <w:rsid w:val="00F42E98"/>
    <w:rsid w:val="00F521EC"/>
    <w:rsid w:val="00F54F0E"/>
    <w:rsid w:val="00F57691"/>
    <w:rsid w:val="00F62EE8"/>
    <w:rsid w:val="00F63285"/>
    <w:rsid w:val="00F640FA"/>
    <w:rsid w:val="00F65A26"/>
    <w:rsid w:val="00F71377"/>
    <w:rsid w:val="00F7198E"/>
    <w:rsid w:val="00F80A17"/>
    <w:rsid w:val="00F82870"/>
    <w:rsid w:val="00F83591"/>
    <w:rsid w:val="00F94756"/>
    <w:rsid w:val="00FA05DE"/>
    <w:rsid w:val="00FA1D83"/>
    <w:rsid w:val="00FA5E8A"/>
    <w:rsid w:val="00FA6CAF"/>
    <w:rsid w:val="00FB091F"/>
    <w:rsid w:val="00FB1E4B"/>
    <w:rsid w:val="00FB22F6"/>
    <w:rsid w:val="00FB3C39"/>
    <w:rsid w:val="00FB4343"/>
    <w:rsid w:val="00FB7033"/>
    <w:rsid w:val="00FC23CF"/>
    <w:rsid w:val="00FC602B"/>
    <w:rsid w:val="00FC6637"/>
    <w:rsid w:val="00FC721F"/>
    <w:rsid w:val="00FC73B5"/>
    <w:rsid w:val="00FC7D50"/>
    <w:rsid w:val="00FD1BD7"/>
    <w:rsid w:val="00FD48B9"/>
    <w:rsid w:val="00FD4FC8"/>
    <w:rsid w:val="00FD573B"/>
    <w:rsid w:val="00FD62E7"/>
    <w:rsid w:val="00FE1EFB"/>
    <w:rsid w:val="00FE7483"/>
    <w:rsid w:val="00FF2D56"/>
    <w:rsid w:val="00FF75AF"/>
    <w:rsid w:val="01010DC0"/>
    <w:rsid w:val="01367ADD"/>
    <w:rsid w:val="01745FF5"/>
    <w:rsid w:val="01957316"/>
    <w:rsid w:val="019D75F7"/>
    <w:rsid w:val="02313956"/>
    <w:rsid w:val="028905F9"/>
    <w:rsid w:val="02B151EA"/>
    <w:rsid w:val="03632739"/>
    <w:rsid w:val="04296885"/>
    <w:rsid w:val="043427A3"/>
    <w:rsid w:val="04415E6D"/>
    <w:rsid w:val="044F1117"/>
    <w:rsid w:val="0453522B"/>
    <w:rsid w:val="04C51C83"/>
    <w:rsid w:val="052829F6"/>
    <w:rsid w:val="0643730D"/>
    <w:rsid w:val="06FF00E5"/>
    <w:rsid w:val="074E1BEF"/>
    <w:rsid w:val="07782E40"/>
    <w:rsid w:val="07BD4F13"/>
    <w:rsid w:val="088253FE"/>
    <w:rsid w:val="09724122"/>
    <w:rsid w:val="0983157E"/>
    <w:rsid w:val="099E28B0"/>
    <w:rsid w:val="09BE654F"/>
    <w:rsid w:val="09FE1B14"/>
    <w:rsid w:val="0A4B6E35"/>
    <w:rsid w:val="0A8637B4"/>
    <w:rsid w:val="0AB1153C"/>
    <w:rsid w:val="0AB57847"/>
    <w:rsid w:val="0B4337E5"/>
    <w:rsid w:val="0D6059DD"/>
    <w:rsid w:val="0D89438B"/>
    <w:rsid w:val="0D995A70"/>
    <w:rsid w:val="0DBC33FF"/>
    <w:rsid w:val="0F50730F"/>
    <w:rsid w:val="0FD02033"/>
    <w:rsid w:val="0FD02638"/>
    <w:rsid w:val="11643A43"/>
    <w:rsid w:val="11DF51CC"/>
    <w:rsid w:val="12061235"/>
    <w:rsid w:val="12830B81"/>
    <w:rsid w:val="133643B2"/>
    <w:rsid w:val="135E3CA5"/>
    <w:rsid w:val="138C7A0C"/>
    <w:rsid w:val="139A1AD8"/>
    <w:rsid w:val="13B80919"/>
    <w:rsid w:val="14296AE8"/>
    <w:rsid w:val="1522725F"/>
    <w:rsid w:val="153D2001"/>
    <w:rsid w:val="15685645"/>
    <w:rsid w:val="159F41A4"/>
    <w:rsid w:val="15A55C5A"/>
    <w:rsid w:val="15C161A5"/>
    <w:rsid w:val="15D942D4"/>
    <w:rsid w:val="15ED48AE"/>
    <w:rsid w:val="16636CF5"/>
    <w:rsid w:val="16AB5A4C"/>
    <w:rsid w:val="16D714AF"/>
    <w:rsid w:val="17126502"/>
    <w:rsid w:val="18F135D3"/>
    <w:rsid w:val="1A131847"/>
    <w:rsid w:val="1A205A2F"/>
    <w:rsid w:val="1C4C74A6"/>
    <w:rsid w:val="1CB4332A"/>
    <w:rsid w:val="1CDC2A2A"/>
    <w:rsid w:val="1D4C5C70"/>
    <w:rsid w:val="1DD3408B"/>
    <w:rsid w:val="1DF66BF8"/>
    <w:rsid w:val="1E8A2924"/>
    <w:rsid w:val="1F1F544D"/>
    <w:rsid w:val="1FA53874"/>
    <w:rsid w:val="1FAA328C"/>
    <w:rsid w:val="1FB406F1"/>
    <w:rsid w:val="1FB5160F"/>
    <w:rsid w:val="200B6E17"/>
    <w:rsid w:val="204F7882"/>
    <w:rsid w:val="20921E64"/>
    <w:rsid w:val="20AC74DA"/>
    <w:rsid w:val="20AE01CD"/>
    <w:rsid w:val="20B827A2"/>
    <w:rsid w:val="20D44126"/>
    <w:rsid w:val="20D57BBC"/>
    <w:rsid w:val="219A375E"/>
    <w:rsid w:val="224D3FBB"/>
    <w:rsid w:val="22957529"/>
    <w:rsid w:val="22BD6C42"/>
    <w:rsid w:val="240F669E"/>
    <w:rsid w:val="243E1878"/>
    <w:rsid w:val="245F7EA8"/>
    <w:rsid w:val="249662D1"/>
    <w:rsid w:val="24CA3ACE"/>
    <w:rsid w:val="250B253B"/>
    <w:rsid w:val="262C735E"/>
    <w:rsid w:val="263E1E43"/>
    <w:rsid w:val="268771FA"/>
    <w:rsid w:val="26FF47BB"/>
    <w:rsid w:val="270D5A29"/>
    <w:rsid w:val="274E52FB"/>
    <w:rsid w:val="27620A8F"/>
    <w:rsid w:val="27AF4E3E"/>
    <w:rsid w:val="27F14E73"/>
    <w:rsid w:val="2853095F"/>
    <w:rsid w:val="287D47BB"/>
    <w:rsid w:val="289420D5"/>
    <w:rsid w:val="29FE0490"/>
    <w:rsid w:val="2A176942"/>
    <w:rsid w:val="2A2A25FB"/>
    <w:rsid w:val="2AE6496D"/>
    <w:rsid w:val="2BA813D4"/>
    <w:rsid w:val="2C4D7543"/>
    <w:rsid w:val="2CC54818"/>
    <w:rsid w:val="2CEB4FFF"/>
    <w:rsid w:val="2CF61E37"/>
    <w:rsid w:val="2CFF066C"/>
    <w:rsid w:val="2D306F77"/>
    <w:rsid w:val="2D6E51C5"/>
    <w:rsid w:val="2E08144F"/>
    <w:rsid w:val="2F396887"/>
    <w:rsid w:val="2F3D4C69"/>
    <w:rsid w:val="30121E3C"/>
    <w:rsid w:val="305F1B4D"/>
    <w:rsid w:val="30B6207A"/>
    <w:rsid w:val="315D1F7D"/>
    <w:rsid w:val="322D548C"/>
    <w:rsid w:val="326049E1"/>
    <w:rsid w:val="3268667D"/>
    <w:rsid w:val="32F522F5"/>
    <w:rsid w:val="3332126F"/>
    <w:rsid w:val="33397294"/>
    <w:rsid w:val="334A6C01"/>
    <w:rsid w:val="338F7005"/>
    <w:rsid w:val="339235B1"/>
    <w:rsid w:val="34784FC7"/>
    <w:rsid w:val="347D4B77"/>
    <w:rsid w:val="35CA5443"/>
    <w:rsid w:val="364C65C2"/>
    <w:rsid w:val="36CC2B25"/>
    <w:rsid w:val="36F23152"/>
    <w:rsid w:val="371F5706"/>
    <w:rsid w:val="37AF3792"/>
    <w:rsid w:val="37C61A7B"/>
    <w:rsid w:val="38322A41"/>
    <w:rsid w:val="39466C47"/>
    <w:rsid w:val="39A527B5"/>
    <w:rsid w:val="3A2325A9"/>
    <w:rsid w:val="3A361B71"/>
    <w:rsid w:val="3B1A7B41"/>
    <w:rsid w:val="3B3B235D"/>
    <w:rsid w:val="3B902FB6"/>
    <w:rsid w:val="3BA91C9B"/>
    <w:rsid w:val="3C254D17"/>
    <w:rsid w:val="3C594B51"/>
    <w:rsid w:val="3D203667"/>
    <w:rsid w:val="3DA7402E"/>
    <w:rsid w:val="3E35213F"/>
    <w:rsid w:val="3F0E24F4"/>
    <w:rsid w:val="3F305696"/>
    <w:rsid w:val="3F967DE1"/>
    <w:rsid w:val="40B42A9D"/>
    <w:rsid w:val="40D466D5"/>
    <w:rsid w:val="40F17343"/>
    <w:rsid w:val="414324F8"/>
    <w:rsid w:val="414D6B19"/>
    <w:rsid w:val="418519FA"/>
    <w:rsid w:val="41C919E6"/>
    <w:rsid w:val="41EC6AFB"/>
    <w:rsid w:val="42092871"/>
    <w:rsid w:val="42811B47"/>
    <w:rsid w:val="42ED62DA"/>
    <w:rsid w:val="4327346E"/>
    <w:rsid w:val="43420FF6"/>
    <w:rsid w:val="43CA332A"/>
    <w:rsid w:val="44A40821"/>
    <w:rsid w:val="452242D2"/>
    <w:rsid w:val="467B3750"/>
    <w:rsid w:val="46CF3628"/>
    <w:rsid w:val="470F436D"/>
    <w:rsid w:val="47390BDC"/>
    <w:rsid w:val="474A792F"/>
    <w:rsid w:val="474E7D1A"/>
    <w:rsid w:val="488046C6"/>
    <w:rsid w:val="48F44E94"/>
    <w:rsid w:val="492C2636"/>
    <w:rsid w:val="4A9C24B0"/>
    <w:rsid w:val="4A9D70A2"/>
    <w:rsid w:val="4AF763BD"/>
    <w:rsid w:val="4B6E0F11"/>
    <w:rsid w:val="4C325F10"/>
    <w:rsid w:val="4DBE2242"/>
    <w:rsid w:val="4E3C4BEE"/>
    <w:rsid w:val="4E5C5F56"/>
    <w:rsid w:val="4EC62126"/>
    <w:rsid w:val="4F2A752E"/>
    <w:rsid w:val="4F5610F2"/>
    <w:rsid w:val="4F583E4D"/>
    <w:rsid w:val="4F7640F5"/>
    <w:rsid w:val="50B4155D"/>
    <w:rsid w:val="50CF6CB6"/>
    <w:rsid w:val="530B2E17"/>
    <w:rsid w:val="53A13E55"/>
    <w:rsid w:val="53EC042A"/>
    <w:rsid w:val="54042084"/>
    <w:rsid w:val="547A6AB3"/>
    <w:rsid w:val="55205C56"/>
    <w:rsid w:val="558C4615"/>
    <w:rsid w:val="55D44791"/>
    <w:rsid w:val="57DB381E"/>
    <w:rsid w:val="599923BD"/>
    <w:rsid w:val="59AC1F4B"/>
    <w:rsid w:val="5A1E43E7"/>
    <w:rsid w:val="5ABC576C"/>
    <w:rsid w:val="5B2A0381"/>
    <w:rsid w:val="5BE86016"/>
    <w:rsid w:val="5C666B0F"/>
    <w:rsid w:val="5CB70498"/>
    <w:rsid w:val="5CBD3291"/>
    <w:rsid w:val="5D015E23"/>
    <w:rsid w:val="5D05398F"/>
    <w:rsid w:val="5DCA77DC"/>
    <w:rsid w:val="5E4A02CB"/>
    <w:rsid w:val="5E7B4399"/>
    <w:rsid w:val="5FF64B50"/>
    <w:rsid w:val="60740AF6"/>
    <w:rsid w:val="609B00D0"/>
    <w:rsid w:val="60B71D43"/>
    <w:rsid w:val="617233CF"/>
    <w:rsid w:val="62233B87"/>
    <w:rsid w:val="622A1090"/>
    <w:rsid w:val="622B2271"/>
    <w:rsid w:val="626F420C"/>
    <w:rsid w:val="62740D28"/>
    <w:rsid w:val="62B84990"/>
    <w:rsid w:val="640C3779"/>
    <w:rsid w:val="649742DE"/>
    <w:rsid w:val="650F4991"/>
    <w:rsid w:val="65C7764C"/>
    <w:rsid w:val="67484FCE"/>
    <w:rsid w:val="676A3A2A"/>
    <w:rsid w:val="67BA66EE"/>
    <w:rsid w:val="67CB36F0"/>
    <w:rsid w:val="67FA7A1E"/>
    <w:rsid w:val="68473869"/>
    <w:rsid w:val="688C1CA1"/>
    <w:rsid w:val="69334486"/>
    <w:rsid w:val="695843F6"/>
    <w:rsid w:val="69CD44C1"/>
    <w:rsid w:val="69FE49DF"/>
    <w:rsid w:val="6A457CBB"/>
    <w:rsid w:val="6AD95A7D"/>
    <w:rsid w:val="6BC02799"/>
    <w:rsid w:val="6BE804CC"/>
    <w:rsid w:val="6C8C7FEB"/>
    <w:rsid w:val="6D490C1C"/>
    <w:rsid w:val="6DC57D4F"/>
    <w:rsid w:val="6E5050A7"/>
    <w:rsid w:val="6EEB5BB0"/>
    <w:rsid w:val="70184F76"/>
    <w:rsid w:val="70B573FA"/>
    <w:rsid w:val="71235CA4"/>
    <w:rsid w:val="71402523"/>
    <w:rsid w:val="714176D0"/>
    <w:rsid w:val="71723296"/>
    <w:rsid w:val="71EB72EC"/>
    <w:rsid w:val="72600B2A"/>
    <w:rsid w:val="72C02042"/>
    <w:rsid w:val="72D64A93"/>
    <w:rsid w:val="730B4C41"/>
    <w:rsid w:val="731761E0"/>
    <w:rsid w:val="73660A41"/>
    <w:rsid w:val="73D5454B"/>
    <w:rsid w:val="73DC4C50"/>
    <w:rsid w:val="74557335"/>
    <w:rsid w:val="74E163C6"/>
    <w:rsid w:val="75592594"/>
    <w:rsid w:val="7582112E"/>
    <w:rsid w:val="758D0573"/>
    <w:rsid w:val="76135943"/>
    <w:rsid w:val="762C2956"/>
    <w:rsid w:val="76E90F64"/>
    <w:rsid w:val="774E6502"/>
    <w:rsid w:val="788960B1"/>
    <w:rsid w:val="789348AE"/>
    <w:rsid w:val="78AF606F"/>
    <w:rsid w:val="78DE573F"/>
    <w:rsid w:val="799C222E"/>
    <w:rsid w:val="7AEB688F"/>
    <w:rsid w:val="7BB51BEE"/>
    <w:rsid w:val="7C483F86"/>
    <w:rsid w:val="7D3043A8"/>
    <w:rsid w:val="7D3D6655"/>
    <w:rsid w:val="7D796738"/>
    <w:rsid w:val="7D7F7036"/>
    <w:rsid w:val="7EEC57A3"/>
    <w:rsid w:val="7F8608E0"/>
    <w:rsid w:val="7FE61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olor w:val="000000"/>
    </w:rPr>
  </w:style>
  <w:style w:type="paragraph" w:styleId="3">
    <w:name w:val="Balloon Text"/>
    <w:basedOn w:val="1"/>
    <w:qFormat/>
    <w:uiPriority w:val="0"/>
    <w:rPr>
      <w:sz w:val="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character" w:customStyle="1" w:styleId="10">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2791</Words>
  <Characters>2885</Characters>
  <Lines>25</Lines>
  <Paragraphs>7</Paragraphs>
  <TotalTime>186</TotalTime>
  <ScaleCrop>false</ScaleCrop>
  <LinksUpToDate>false</LinksUpToDate>
  <CharactersWithSpaces>2889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2018-01-10T05:46:00Z</dcterms:created>
  <dc:creator>雨林木风</dc:creator>
  <cp:lastModifiedBy>洪波</cp:lastModifiedBy>
  <cp:lastPrinted>2025-07-01T00:16:37Z</cp:lastPrinted>
  <dcterms:modified xsi:type="dcterms:W3CDTF">2025-07-01T01:01:55Z</dcterms:modified>
  <dc:title>青山区N地块旧城区改建项目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2809D7E73E8340778AC2D99A8DC8D89D_13</vt:lpwstr>
  </property>
  <property fmtid="{D5CDD505-2E9C-101B-9397-08002B2CF9AE}" pid="4" name="KSOTemplateDocerSaveRecord">
    <vt:lpwstr>eyJoZGlkIjoiMTQ1YWI5YmVkMTYwMzMyMDgzYjg3NDNlYmE2ZDg1NjYiLCJ1c2VySWQiOiIxOTYxMDEyNTMifQ==</vt:lpwstr>
  </property>
</Properties>
</file>